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D2EF7" w:rsidRDefault="00DE4DBF">
      <w:r>
        <w:t xml:space="preserve">Nowadays, it has become very clear that </w:t>
      </w:r>
      <w:r w:rsidRPr="00361A9D">
        <w:t>radiocarbon</w:t>
      </w:r>
      <w:r w:rsidR="00361A9D">
        <w:t xml:space="preserve"> dating, especially of </w:t>
      </w:r>
      <w:r w:rsidR="00361A9D">
        <w:rPr>
          <w:vertAlign w:val="superscript"/>
        </w:rPr>
        <w:t>14</w:t>
      </w:r>
      <w:r w:rsidR="00361A9D">
        <w:t>C,</w:t>
      </w:r>
      <w:r>
        <w:t xml:space="preserve"> holds a special place in archaeology and its revolutionary applications to archaeology were ground-breaking to say the least. While this new dating technique has many benefits, it also comes with a flaw: the calibration curve. Results of a single dating always come with wide margins of probability, which in turn makes every calculation extre</w:t>
      </w:r>
      <w:r w:rsidR="001813BD">
        <w:t xml:space="preserve">mely broad.  </w:t>
      </w:r>
      <w:r>
        <w:t>Interestingly, a theorem dating back to 1763</w:t>
      </w:r>
      <w:r w:rsidR="009B2031">
        <w:t xml:space="preserve"> by The Reverend Thomas Bayes</w:t>
      </w:r>
      <w:r w:rsidR="00FA0E28">
        <w:rPr>
          <w:rStyle w:val="Voetnootmarkering"/>
        </w:rPr>
        <w:footnoteReference w:id="1"/>
      </w:r>
      <w:r w:rsidR="009B2031">
        <w:t xml:space="preserve"> offers a solution to this problem, known as </w:t>
      </w:r>
      <w:r w:rsidR="009B2031" w:rsidRPr="00CD2EF7">
        <w:rPr>
          <w:i/>
        </w:rPr>
        <w:t>Bayes’ Theorem</w:t>
      </w:r>
      <w:r w:rsidR="009B2031">
        <w:t xml:space="preserve">. </w:t>
      </w:r>
      <w:r w:rsidR="00CD2EF7" w:rsidRPr="00CD2EF7">
        <w:t>U</w:t>
      </w:r>
      <w:r w:rsidR="00CD2EF7">
        <w:t xml:space="preserve">sing a mathematical equation meant to calculate probability, one could construct a chronological probability model when combined with radiocarbon dating and, more importantly, archaeological context and known boundaries. For a long time, the computational power necessary for such calculations were out of reach. However, more recently, the advent of algorithms and the increasingly powerful computers of today provide the means to create the models now known as </w:t>
      </w:r>
      <w:r w:rsidR="00CD2EF7">
        <w:rPr>
          <w:i/>
        </w:rPr>
        <w:t>Bayesian models</w:t>
      </w:r>
      <w:r w:rsidR="00CD2EF7">
        <w:t>. In this essay, I strive to illustrate the usefulness of Ba</w:t>
      </w:r>
      <w:r w:rsidR="00832B60">
        <w:t>yesian modelling to archaeology, in particular with a case study related to Stonehenge.</w:t>
      </w:r>
    </w:p>
    <w:p w:rsidR="000F4BA1" w:rsidRDefault="000F4BA1"/>
    <w:p w:rsidR="006F2A78" w:rsidRDefault="00095866">
      <w:r>
        <w:t xml:space="preserve"> </w:t>
      </w:r>
      <w:r>
        <w:tab/>
      </w:r>
      <w:r w:rsidR="00CD2EF7">
        <w:t xml:space="preserve">Firstly, </w:t>
      </w:r>
      <w:r w:rsidR="00015BDC">
        <w:t>the improvements that Bayesian modelling makes upon single carbon datings will be discussed. ‘’It is in the calibration of radiocarbon determinations that Bayesian statistics has made the greatest impact on archaeological data analysis and interpretation.’’</w:t>
      </w:r>
      <w:r w:rsidR="00015BDC">
        <w:rPr>
          <w:rStyle w:val="Voetnootmarkering"/>
        </w:rPr>
        <w:footnoteReference w:id="2"/>
      </w:r>
      <w:r w:rsidR="00015BDC">
        <w:t xml:space="preserve"> </w:t>
      </w:r>
      <w:r w:rsidR="00361A9D">
        <w:t>In those words,</w:t>
      </w:r>
      <w:r w:rsidR="00015BDC">
        <w:t xml:space="preserve"> Litton and Buck illustrate the key aspect of Bayesian modelling perfectly, by highlighting the calibration issues present in separate carbon datings. The</w:t>
      </w:r>
      <w:r w:rsidR="00361A9D">
        <w:t xml:space="preserve"> overall broad spectrum of time</w:t>
      </w:r>
      <w:r w:rsidR="00015BDC">
        <w:t xml:space="preserve"> that is calculated by a normal </w:t>
      </w:r>
      <w:r w:rsidR="00015BDC">
        <w:rPr>
          <w:vertAlign w:val="superscript"/>
        </w:rPr>
        <w:t>14</w:t>
      </w:r>
      <w:r w:rsidR="00015BDC">
        <w:t xml:space="preserve">C </w:t>
      </w:r>
      <w:r w:rsidR="00361A9D">
        <w:t xml:space="preserve">does not provide archaeologists with much applicable information, instead it is more like a general framework in which to continue your research. Ramsey identifies three issues with </w:t>
      </w:r>
      <w:r w:rsidR="00361A9D">
        <w:rPr>
          <w:vertAlign w:val="superscript"/>
        </w:rPr>
        <w:t>14</w:t>
      </w:r>
      <w:r w:rsidR="00361A9D">
        <w:t>C datings</w:t>
      </w:r>
      <w:r w:rsidR="00361A9D">
        <w:rPr>
          <w:rStyle w:val="Voetnootmarkering"/>
        </w:rPr>
        <w:footnoteReference w:id="3"/>
      </w:r>
      <w:r w:rsidR="00361A9D">
        <w:t xml:space="preserve"> that I can wholly agree with</w:t>
      </w:r>
      <w:r w:rsidR="001813BD">
        <w:t xml:space="preserve">: for one, the wide availability of </w:t>
      </w:r>
      <w:r w:rsidR="001813BD">
        <w:rPr>
          <w:vertAlign w:val="superscript"/>
        </w:rPr>
        <w:t>14</w:t>
      </w:r>
      <w:r w:rsidR="001813BD">
        <w:t xml:space="preserve">C dates, which ought to be all considered together. Additionally, </w:t>
      </w:r>
      <w:r w:rsidR="001813BD">
        <w:rPr>
          <w:vertAlign w:val="superscript"/>
        </w:rPr>
        <w:t>14</w:t>
      </w:r>
      <w:r w:rsidR="001813BD">
        <w:t>C dating is only based off of the measurements of isotope ratios, thus a calibration curve is needed to extract a dating from that information. Finally, Ramsey states that after the calibration, the probability density functions are not normally distributed, which leads to incompatibility with man</w:t>
      </w:r>
      <w:r>
        <w:t xml:space="preserve">y forms of </w:t>
      </w:r>
      <w:r w:rsidR="00B57FB8">
        <w:t xml:space="preserve">statistical analysis. </w:t>
      </w:r>
      <w:r>
        <w:t>This does beg the question</w:t>
      </w:r>
      <w:r w:rsidR="006F2A78">
        <w:t>: how does Bayesian modelling improve on this?</w:t>
      </w:r>
      <w:r>
        <w:br/>
        <w:t xml:space="preserve"> </w:t>
      </w:r>
      <w:r>
        <w:tab/>
      </w:r>
    </w:p>
    <w:p w:rsidR="00870D77" w:rsidRPr="00870D77" w:rsidRDefault="006F2A78" w:rsidP="006F2A78">
      <w:pPr>
        <w:ind w:firstLine="720"/>
        <w:rPr>
          <w:rFonts w:eastAsiaTheme="minorEastAsia"/>
        </w:rPr>
      </w:pPr>
      <w:r>
        <w:t xml:space="preserve">Hence the complicated nature of statistics, a short explanation of the method will be described. </w:t>
      </w:r>
      <w:r w:rsidR="00095866">
        <w:t xml:space="preserve">Bayes’ Theorem is excellently </w:t>
      </w:r>
      <w:r w:rsidR="00EB5D20">
        <w:t xml:space="preserve">formatted </w:t>
      </w:r>
      <w:r w:rsidR="00870D77">
        <w:t>by Litton and Buck</w:t>
      </w:r>
      <w:r w:rsidR="00870D77">
        <w:rPr>
          <w:rStyle w:val="Voetnootmarkering"/>
        </w:rPr>
        <w:footnoteReference w:id="4"/>
      </w:r>
      <w:r w:rsidR="00870D77">
        <w:t xml:space="preserve">, and I will only repeat their explanation for the sake of clarity. The mathematical equation is </w:t>
      </w:r>
      <w:r w:rsidR="00EB5D20">
        <w:t>denoted</w:t>
      </w:r>
      <w:r w:rsidR="00FA0E28">
        <w:t xml:space="preserve"> </w:t>
      </w:r>
      <w:r w:rsidR="00870D77">
        <w:t>in Litton and Buck as:</w:t>
      </w:r>
      <w:r w:rsidR="00870D77">
        <w:br/>
      </w:r>
      <m:oMathPara>
        <m:oMath>
          <m:r>
            <w:rPr>
              <w:rFonts w:ascii="Cambria Math" w:hAnsi="Cambria Math"/>
            </w:rPr>
            <m:t>p</m:t>
          </m:r>
          <m:d>
            <m:dPr>
              <m:ctrlPr>
                <w:rPr>
                  <w:rFonts w:ascii="Cambria Math" w:hAnsi="Cambria Math"/>
                  <w:i/>
                </w:rPr>
              </m:ctrlPr>
            </m:dPr>
            <m:e>
              <m:r>
                <w:rPr>
                  <w:rFonts w:ascii="Cambria Math" w:hAnsi="Cambria Math"/>
                </w:rPr>
                <m:t>θ</m:t>
              </m:r>
            </m:e>
            <m:e>
              <m:r>
                <w:rPr>
                  <w:rFonts w:ascii="Cambria Math" w:hAnsi="Cambria Math"/>
                </w:rPr>
                <m:t>x</m:t>
              </m:r>
              <m:ctrlPr>
                <w:rPr>
                  <w:rFonts w:ascii="Cambria Math" w:eastAsiaTheme="minorEastAsia" w:hAnsi="Cambria Math"/>
                  <w:i/>
                </w:rPr>
              </m:ctrlPr>
            </m:e>
          </m:d>
          <m:r>
            <w:rPr>
              <w:rFonts w:ascii="Cambria Math" w:eastAsiaTheme="minorEastAsia" w:hAnsi="Cambria Math"/>
            </w:rPr>
            <m:t>=</m:t>
          </m:r>
          <m:f>
            <m:fPr>
              <m:ctrlPr>
                <w:rPr>
                  <w:rFonts w:ascii="Cambria Math" w:eastAsiaTheme="minorEastAsia" w:hAnsi="Cambria Math"/>
                  <w:i/>
                </w:rPr>
              </m:ctrlPr>
            </m:fPr>
            <m:num>
              <m:r>
                <w:rPr>
                  <w:rFonts w:ascii="Cambria Math" w:hAnsi="Cambria Math"/>
                </w:rPr>
                <m:t>p</m:t>
              </m:r>
              <m:d>
                <m:dPr>
                  <m:ctrlPr>
                    <w:rPr>
                      <w:rFonts w:ascii="Cambria Math" w:hAnsi="Cambria Math"/>
                      <w:i/>
                    </w:rPr>
                  </m:ctrlPr>
                </m:dPr>
                <m:e>
                  <m:r>
                    <w:rPr>
                      <w:rFonts w:ascii="Cambria Math" w:hAnsi="Cambria Math"/>
                    </w:rPr>
                    <m:t>x</m:t>
                  </m:r>
                </m:e>
                <m:e>
                  <m:r>
                    <w:rPr>
                      <w:rFonts w:ascii="Cambria Math" w:hAnsi="Cambria Math"/>
                    </w:rPr>
                    <m:t>θ</m:t>
                  </m:r>
                </m:e>
              </m:d>
            </m:num>
            <m:den>
              <m:r>
                <w:rPr>
                  <w:rFonts w:ascii="Cambria Math" w:hAnsi="Cambria Math"/>
                </w:rPr>
                <m:t>p</m:t>
              </m:r>
              <m:d>
                <m:dPr>
                  <m:ctrlPr>
                    <w:rPr>
                      <w:rFonts w:ascii="Cambria Math" w:hAnsi="Cambria Math"/>
                      <w:i/>
                    </w:rPr>
                  </m:ctrlPr>
                </m:dPr>
                <m:e>
                  <m:r>
                    <w:rPr>
                      <w:rFonts w:ascii="Cambria Math" w:hAnsi="Cambria Math"/>
                    </w:rPr>
                    <m:t>x</m:t>
                  </m:r>
                </m:e>
              </m:d>
            </m:den>
          </m:f>
          <m:r>
            <w:rPr>
              <w:rFonts w:ascii="Cambria Math" w:eastAsiaTheme="minorEastAsia" w:hAnsi="Cambria Math"/>
            </w:rPr>
            <m:t>×p(θ)</m:t>
          </m:r>
        </m:oMath>
      </m:oMathPara>
    </w:p>
    <w:p w:rsidR="000F4BA1" w:rsidRPr="000A5D55" w:rsidRDefault="00870D77" w:rsidP="000A5D55">
      <w:pPr>
        <w:rPr>
          <w:rFonts w:eastAsia="Times New Roman" w:cstheme="minorHAnsi"/>
          <w:lang w:eastAsia="en-GB"/>
        </w:rPr>
      </w:pPr>
      <w:r>
        <w:rPr>
          <w:rFonts w:eastAsiaTheme="minorEastAsia"/>
        </w:rPr>
        <w:t>w</w:t>
      </w:r>
      <w:r w:rsidR="00FA0E28">
        <w:rPr>
          <w:rFonts w:eastAsiaTheme="minorEastAsia"/>
        </w:rPr>
        <w:t xml:space="preserve">here:                                                 </w:t>
      </w:r>
      <m:oMath>
        <m:r>
          <w:rPr>
            <w:rFonts w:ascii="Cambria Math" w:eastAsiaTheme="minorEastAsia" w:hAnsi="Cambria Math"/>
          </w:rPr>
          <m:t>p</m:t>
        </m:r>
        <m:d>
          <m:dPr>
            <m:ctrlPr>
              <w:rPr>
                <w:rFonts w:ascii="Cambria Math" w:eastAsiaTheme="minorEastAsia" w:hAnsi="Cambria Math"/>
                <w:i/>
              </w:rPr>
            </m:ctrlPr>
          </m:dPr>
          <m:e>
            <m:r>
              <w:rPr>
                <w:rFonts w:ascii="Cambria Math" w:eastAsiaTheme="minorEastAsia" w:hAnsi="Cambria Math"/>
              </w:rPr>
              <m:t>x</m:t>
            </m:r>
          </m:e>
        </m:d>
        <m:r>
          <w:rPr>
            <w:rFonts w:ascii="Cambria Math" w:eastAsiaTheme="minorEastAsia" w:hAnsi="Cambria Math"/>
          </w:rPr>
          <m:t>=</m:t>
        </m:r>
      </m:oMath>
      <w:r w:rsidR="00FA0E28">
        <w:rPr>
          <w:rFonts w:eastAsiaTheme="minorEastAsia"/>
        </w:rPr>
        <w:t xml:space="preserve"> Average of </w:t>
      </w:r>
      <m:oMath>
        <m:d>
          <m:dPr>
            <m:begChr m:val="{"/>
            <m:endChr m:val="}"/>
            <m:ctrlPr>
              <w:rPr>
                <w:rFonts w:ascii="Cambria Math" w:eastAsiaTheme="minorEastAsia" w:hAnsi="Cambria Math"/>
                <w:i/>
              </w:rPr>
            </m:ctrlPr>
          </m:dPr>
          <m:e>
            <m:r>
              <w:rPr>
                <w:rFonts w:ascii="Cambria Math" w:eastAsiaTheme="minorEastAsia" w:hAnsi="Cambria Math"/>
              </w:rPr>
              <m:t>p</m:t>
            </m:r>
            <m:d>
              <m:dPr>
                <m:ctrlPr>
                  <w:rPr>
                    <w:rFonts w:ascii="Cambria Math" w:eastAsiaTheme="minorEastAsia" w:hAnsi="Cambria Math"/>
                    <w:i/>
                  </w:rPr>
                </m:ctrlPr>
              </m:dPr>
              <m:e>
                <m:r>
                  <w:rPr>
                    <w:rFonts w:ascii="Cambria Math" w:eastAsiaTheme="minorEastAsia" w:hAnsi="Cambria Math"/>
                  </w:rPr>
                  <m:t>x</m:t>
                </m:r>
              </m:e>
              <m:e>
                <m:r>
                  <w:rPr>
                    <w:rFonts w:ascii="Cambria Math" w:eastAsiaTheme="minorEastAsia" w:hAnsi="Cambria Math"/>
                  </w:rPr>
                  <m:t>θ</m:t>
                </m:r>
              </m:e>
            </m:d>
            <m:r>
              <w:rPr>
                <w:rFonts w:ascii="Cambria Math" w:eastAsiaTheme="minorEastAsia" w:hAnsi="Cambria Math"/>
              </w:rPr>
              <m:t>×p</m:t>
            </m:r>
            <m:d>
              <m:dPr>
                <m:ctrlPr>
                  <w:rPr>
                    <w:rFonts w:ascii="Cambria Math" w:eastAsiaTheme="minorEastAsia" w:hAnsi="Cambria Math"/>
                    <w:i/>
                  </w:rPr>
                </m:ctrlPr>
              </m:dPr>
              <m:e>
                <m:r>
                  <w:rPr>
                    <w:rFonts w:ascii="Cambria Math" w:eastAsiaTheme="minorEastAsia" w:hAnsi="Cambria Math"/>
                  </w:rPr>
                  <m:t>θ</m:t>
                </m:r>
              </m:e>
            </m:d>
          </m:e>
        </m:d>
      </m:oMath>
      <w:r>
        <w:br/>
      </w:r>
      <w:r w:rsidR="00FA0E28">
        <w:t xml:space="preserve">I have </w:t>
      </w:r>
      <w:r w:rsidR="00EB5D20">
        <w:t>derived this explanation from</w:t>
      </w:r>
      <w:r w:rsidR="00FA0E28">
        <w:t xml:space="preserve"> th</w:t>
      </w:r>
      <w:r w:rsidR="006F2A78">
        <w:t xml:space="preserve">eir </w:t>
      </w:r>
      <w:r w:rsidR="00FA0E28">
        <w:t>wording, as I believe they explained it simplest</w:t>
      </w:r>
      <w:r w:rsidR="006F2A78">
        <w:t xml:space="preserve"> in their paper</w:t>
      </w:r>
      <w:r w:rsidR="006F2A78">
        <w:rPr>
          <w:rStyle w:val="Voetnootmarkering"/>
        </w:rPr>
        <w:footnoteReference w:id="5"/>
      </w:r>
      <w:r w:rsidR="00FA0E28">
        <w:t>.</w:t>
      </w:r>
      <w:r w:rsidR="005F04C0">
        <w:t xml:space="preserve"> </w:t>
      </w:r>
      <w:r w:rsidR="006F2A78">
        <w:t>Summarized shortly, t</w:t>
      </w:r>
      <w:r w:rsidR="005F04C0">
        <w:t>he symbol</w:t>
      </w:r>
      <w:r w:rsidR="00FA0E28">
        <w:t xml:space="preserve"> </w:t>
      </w:r>
      <m:oMath>
        <m:r>
          <w:rPr>
            <w:rFonts w:ascii="Cambria Math" w:eastAsiaTheme="minorEastAsia" w:hAnsi="Cambria Math"/>
          </w:rPr>
          <m:t>θ</m:t>
        </m:r>
      </m:oMath>
      <w:r w:rsidR="005F04C0">
        <w:rPr>
          <w:rFonts w:eastAsiaTheme="minorEastAsia"/>
        </w:rPr>
        <w:t xml:space="preserve"> represents the unknown date one seeks, while the symbol </w:t>
      </w:r>
      <m:oMath>
        <m:r>
          <w:rPr>
            <w:rFonts w:ascii="Cambria Math" w:eastAsiaTheme="minorEastAsia" w:hAnsi="Cambria Math"/>
          </w:rPr>
          <m:t>x</m:t>
        </m:r>
      </m:oMath>
      <w:r w:rsidR="005F04C0">
        <w:rPr>
          <w:rFonts w:eastAsiaTheme="minorEastAsia"/>
        </w:rPr>
        <w:t xml:space="preserve"> denotes each possible value in relation to </w:t>
      </w:r>
      <m:oMath>
        <m:r>
          <w:rPr>
            <w:rFonts w:ascii="Cambria Math" w:eastAsiaTheme="minorEastAsia" w:hAnsi="Cambria Math"/>
          </w:rPr>
          <m:t>θ</m:t>
        </m:r>
      </m:oMath>
      <w:r w:rsidR="005F04C0">
        <w:rPr>
          <w:rFonts w:eastAsiaTheme="minorEastAsia"/>
        </w:rPr>
        <w:t xml:space="preserve">. Therefore, the function </w:t>
      </w:r>
      <m:oMath>
        <m:r>
          <w:rPr>
            <w:rFonts w:ascii="Cambria Math" w:hAnsi="Cambria Math"/>
          </w:rPr>
          <m:t>p</m:t>
        </m:r>
        <m:d>
          <m:dPr>
            <m:ctrlPr>
              <w:rPr>
                <w:rFonts w:ascii="Cambria Math" w:hAnsi="Cambria Math"/>
                <w:i/>
              </w:rPr>
            </m:ctrlPr>
          </m:dPr>
          <m:e>
            <m:r>
              <w:rPr>
                <w:rFonts w:ascii="Cambria Math" w:hAnsi="Cambria Math"/>
              </w:rPr>
              <m:t>x</m:t>
            </m:r>
          </m:e>
          <m:e>
            <m:r>
              <w:rPr>
                <w:rFonts w:ascii="Cambria Math" w:hAnsi="Cambria Math"/>
              </w:rPr>
              <m:t>θ</m:t>
            </m:r>
          </m:e>
        </m:d>
      </m:oMath>
      <w:r w:rsidR="005F04C0">
        <w:rPr>
          <w:rFonts w:eastAsiaTheme="minorEastAsia"/>
        </w:rPr>
        <w:t xml:space="preserve"> denotes the </w:t>
      </w:r>
      <w:r w:rsidR="005F04C0" w:rsidRPr="005F04C0">
        <w:rPr>
          <w:rFonts w:eastAsiaTheme="minorEastAsia"/>
          <w:i/>
        </w:rPr>
        <w:t xml:space="preserve">likelihood </w:t>
      </w:r>
      <w:r w:rsidR="005F04C0">
        <w:rPr>
          <w:rFonts w:eastAsiaTheme="minorEastAsia"/>
        </w:rPr>
        <w:t xml:space="preserve">of values of </w:t>
      </w:r>
      <m:oMath>
        <m:r>
          <w:rPr>
            <w:rFonts w:ascii="Cambria Math" w:eastAsiaTheme="minorEastAsia" w:hAnsi="Cambria Math"/>
          </w:rPr>
          <m:t>x</m:t>
        </m:r>
      </m:oMath>
      <w:r w:rsidR="005F04C0">
        <w:rPr>
          <w:rFonts w:eastAsiaTheme="minorEastAsia"/>
        </w:rPr>
        <w:t xml:space="preserve"> as the unknown date </w:t>
      </w:r>
      <m:oMath>
        <m:r>
          <w:rPr>
            <w:rFonts w:ascii="Cambria Math" w:eastAsiaTheme="minorEastAsia" w:hAnsi="Cambria Math"/>
          </w:rPr>
          <m:t>θ</m:t>
        </m:r>
      </m:oMath>
      <w:r w:rsidR="005F04C0">
        <w:rPr>
          <w:rFonts w:eastAsiaTheme="minorEastAsia"/>
        </w:rPr>
        <w:t xml:space="preserve">. Furthermore, the function </w:t>
      </w:r>
      <m:oMath>
        <m:r>
          <w:rPr>
            <w:rFonts w:ascii="Cambria Math" w:eastAsiaTheme="minorEastAsia" w:hAnsi="Cambria Math"/>
          </w:rPr>
          <m:t>p(θ)</m:t>
        </m:r>
      </m:oMath>
      <w:r w:rsidR="005F04C0">
        <w:rPr>
          <w:rFonts w:eastAsiaTheme="minorEastAsia"/>
        </w:rPr>
        <w:t xml:space="preserve"> denotes the </w:t>
      </w:r>
      <w:r w:rsidR="005F04C0">
        <w:rPr>
          <w:rFonts w:eastAsiaTheme="minorEastAsia"/>
          <w:i/>
        </w:rPr>
        <w:t>prior</w:t>
      </w:r>
      <w:r w:rsidR="005F04C0">
        <w:rPr>
          <w:rFonts w:eastAsiaTheme="minorEastAsia"/>
        </w:rPr>
        <w:t xml:space="preserve">, which is used to factor in values that are unlikely or impossible due to the context. The outcome, denoted as </w:t>
      </w:r>
      <m:oMath>
        <m:r>
          <w:rPr>
            <w:rFonts w:ascii="Cambria Math" w:hAnsi="Cambria Math"/>
          </w:rPr>
          <m:t>p</m:t>
        </m:r>
        <m:d>
          <m:dPr>
            <m:ctrlPr>
              <w:rPr>
                <w:rFonts w:ascii="Cambria Math" w:hAnsi="Cambria Math"/>
                <w:i/>
              </w:rPr>
            </m:ctrlPr>
          </m:dPr>
          <m:e>
            <m:r>
              <w:rPr>
                <w:rFonts w:ascii="Cambria Math" w:hAnsi="Cambria Math"/>
              </w:rPr>
              <m:t>θ</m:t>
            </m:r>
          </m:e>
          <m:e>
            <m:r>
              <w:rPr>
                <w:rFonts w:ascii="Cambria Math" w:hAnsi="Cambria Math"/>
              </w:rPr>
              <m:t>x</m:t>
            </m:r>
            <m:ctrlPr>
              <w:rPr>
                <w:rFonts w:ascii="Cambria Math" w:eastAsiaTheme="minorEastAsia" w:hAnsi="Cambria Math"/>
                <w:i/>
              </w:rPr>
            </m:ctrlPr>
          </m:e>
        </m:d>
      </m:oMath>
      <w:r w:rsidR="005F04C0">
        <w:rPr>
          <w:rFonts w:eastAsiaTheme="minorEastAsia"/>
        </w:rPr>
        <w:t xml:space="preserve">, is known as </w:t>
      </w:r>
      <w:r w:rsidR="005F04C0">
        <w:rPr>
          <w:rFonts w:eastAsiaTheme="minorEastAsia"/>
        </w:rPr>
        <w:lastRenderedPageBreak/>
        <w:t xml:space="preserve">the </w:t>
      </w:r>
      <w:r w:rsidR="005F04C0">
        <w:rPr>
          <w:rFonts w:eastAsiaTheme="minorEastAsia"/>
          <w:i/>
        </w:rPr>
        <w:t>posterior</w:t>
      </w:r>
      <w:r w:rsidR="005F04C0">
        <w:rPr>
          <w:rFonts w:eastAsiaTheme="minorEastAsia"/>
        </w:rPr>
        <w:t xml:space="preserve">, which represents the probability of </w:t>
      </w:r>
      <w:r w:rsidR="006F2A78">
        <w:rPr>
          <w:rFonts w:eastAsiaTheme="minorEastAsia"/>
        </w:rPr>
        <w:t xml:space="preserve">the values of the unknown date </w:t>
      </w:r>
      <m:oMath>
        <m:r>
          <w:rPr>
            <w:rFonts w:ascii="Cambria Math" w:eastAsiaTheme="minorEastAsia" w:hAnsi="Cambria Math"/>
          </w:rPr>
          <m:t>θ</m:t>
        </m:r>
      </m:oMath>
      <w:r w:rsidR="006F2A78">
        <w:rPr>
          <w:rFonts w:eastAsiaTheme="minorEastAsia"/>
        </w:rPr>
        <w:t xml:space="preserve">. Thus, this calculation is inherently more specific than </w:t>
      </w:r>
      <w:r w:rsidR="006F2A78">
        <w:rPr>
          <w:rFonts w:eastAsiaTheme="minorEastAsia"/>
          <w:vertAlign w:val="superscript"/>
        </w:rPr>
        <w:t>14</w:t>
      </w:r>
      <w:r w:rsidR="006F2A78">
        <w:rPr>
          <w:rFonts w:eastAsiaTheme="minorEastAsia"/>
        </w:rPr>
        <w:t xml:space="preserve">C, because prior knowledge is always factored in. When such results are plotted in a chronological Bayesian model, one gets a far more clear view of the probability of each value, instead of a rigid calibration that results in a generic, extremely broad timespan. </w:t>
      </w:r>
      <w:r w:rsidR="00EB5D20">
        <w:rPr>
          <w:rFonts w:eastAsiaTheme="minorEastAsia"/>
        </w:rPr>
        <w:br/>
      </w:r>
      <w:r w:rsidR="00EB5D20">
        <w:rPr>
          <w:rFonts w:eastAsiaTheme="minorEastAsia"/>
        </w:rPr>
        <w:br/>
      </w:r>
      <w:r w:rsidR="00EB5D20">
        <w:rPr>
          <w:rFonts w:eastAsiaTheme="minorEastAsia"/>
        </w:rPr>
        <w:tab/>
        <w:t xml:space="preserve">Secondly, </w:t>
      </w:r>
      <w:r w:rsidR="00A90AA3">
        <w:rPr>
          <w:rFonts w:eastAsiaTheme="minorEastAsia"/>
        </w:rPr>
        <w:t xml:space="preserve">the pitfalls and problems of carbon dating and Bayesian modelling will be acknowledged. Since </w:t>
      </w:r>
      <w:r w:rsidR="00005DE5">
        <w:rPr>
          <w:rFonts w:eastAsiaTheme="minorEastAsia"/>
        </w:rPr>
        <w:t xml:space="preserve">this kind of scientific research relies on laboratories to function properly, it is of the essence that the analyses made by these laboratories are of sound quality. </w:t>
      </w:r>
      <w:r w:rsidR="00005DE5" w:rsidRPr="00005DE5">
        <w:rPr>
          <w:rFonts w:eastAsiaTheme="minorEastAsia"/>
        </w:rPr>
        <w:t xml:space="preserve">Bayliss </w:t>
      </w:r>
      <w:r w:rsidR="005C5847">
        <w:rPr>
          <w:rFonts w:eastAsiaTheme="minorEastAsia"/>
        </w:rPr>
        <w:t>et</w:t>
      </w:r>
      <w:r w:rsidR="00005DE5" w:rsidRPr="00005DE5">
        <w:rPr>
          <w:rFonts w:eastAsiaTheme="minorEastAsia"/>
        </w:rPr>
        <w:t xml:space="preserve"> al.</w:t>
      </w:r>
      <w:r w:rsidR="00005DE5">
        <w:rPr>
          <w:rStyle w:val="Voetnootmarkering"/>
          <w:rFonts w:eastAsiaTheme="minorEastAsia"/>
        </w:rPr>
        <w:footnoteReference w:id="6"/>
      </w:r>
      <w:r w:rsidR="00005DE5" w:rsidRPr="00005DE5">
        <w:rPr>
          <w:rFonts w:eastAsiaTheme="minorEastAsia"/>
        </w:rPr>
        <w:t xml:space="preserve"> make mention of a technical failure of the ultrafiltration protocol at the </w:t>
      </w:r>
      <w:r w:rsidR="00005DE5" w:rsidRPr="00005DE5">
        <w:rPr>
          <w:rFonts w:eastAsiaTheme="minorEastAsia"/>
          <w:i/>
        </w:rPr>
        <w:t>Oxf</w:t>
      </w:r>
      <w:r w:rsidR="00005DE5">
        <w:rPr>
          <w:rFonts w:eastAsiaTheme="minorEastAsia"/>
          <w:i/>
        </w:rPr>
        <w:t>ord Radiocarbon Accelerator Unit</w:t>
      </w:r>
      <w:r w:rsidR="00005DE5">
        <w:rPr>
          <w:rFonts w:eastAsiaTheme="minorEastAsia"/>
        </w:rPr>
        <w:t xml:space="preserve">, which resulted in wrong carbon datings for many of the objects sent in for analysis in late 2002. </w:t>
      </w:r>
      <w:r w:rsidR="004B2253">
        <w:rPr>
          <w:rFonts w:eastAsiaTheme="minorEastAsia"/>
        </w:rPr>
        <w:t>However, of even greater importance, are the limitations of the method itself. Bayliss et al. also did research to the susceptibility to error of Bayesian models, based on under-quoting or over-quoting the margin of error</w:t>
      </w:r>
      <w:r w:rsidR="004B2253">
        <w:rPr>
          <w:rStyle w:val="Voetnootmarkering"/>
          <w:rFonts w:eastAsiaTheme="minorEastAsia"/>
        </w:rPr>
        <w:footnoteReference w:id="7"/>
      </w:r>
      <w:r w:rsidR="004B2253">
        <w:rPr>
          <w:rFonts w:eastAsiaTheme="minorEastAsia"/>
        </w:rPr>
        <w:t>, showing how even with correct carbon dates, other factors of the calculation may affect the end results. In addition, they also researched the same scenario the other way around, where they had a correct quoting of error, but manipulated the radiocarbon dates</w:t>
      </w:r>
      <w:r w:rsidR="004B2253">
        <w:rPr>
          <w:rStyle w:val="Voetnootmarkering"/>
          <w:rFonts w:eastAsiaTheme="minorEastAsia"/>
        </w:rPr>
        <w:footnoteReference w:id="8"/>
      </w:r>
      <w:r w:rsidR="004B2253">
        <w:rPr>
          <w:rFonts w:eastAsiaTheme="minorEastAsia"/>
        </w:rPr>
        <w:t xml:space="preserve">. </w:t>
      </w:r>
      <w:r w:rsidR="000A5D55">
        <w:rPr>
          <w:rFonts w:eastAsiaTheme="minorEastAsia"/>
        </w:rPr>
        <w:t>One of their findings was, that: ‘’</w:t>
      </w:r>
      <w:r w:rsidR="000A5D55" w:rsidRPr="000A5D55">
        <w:rPr>
          <w:rFonts w:cstheme="minorHAnsi"/>
        </w:rPr>
        <w:t xml:space="preserve"> </w:t>
      </w:r>
      <w:r w:rsidR="000A5D55" w:rsidRPr="000A5D55">
        <w:rPr>
          <w:rFonts w:eastAsia="Times New Roman" w:cstheme="minorHAnsi"/>
          <w:lang w:eastAsia="en-GB"/>
        </w:rPr>
        <w:t>It is clear, however, that systematic bias in the radiocarbon ages included in a model will cause the outputs of that model to be importantly wrong.</w:t>
      </w:r>
      <w:r w:rsidR="000A5D55">
        <w:rPr>
          <w:rFonts w:eastAsia="Times New Roman" w:cstheme="minorHAnsi"/>
          <w:lang w:eastAsia="en-GB"/>
        </w:rPr>
        <w:t>’’</w:t>
      </w:r>
      <w:r w:rsidR="000A5D55">
        <w:rPr>
          <w:rStyle w:val="Voetnootmarkering"/>
          <w:rFonts w:eastAsia="Times New Roman" w:cstheme="minorHAnsi"/>
          <w:lang w:eastAsia="en-GB"/>
        </w:rPr>
        <w:footnoteReference w:id="9"/>
      </w:r>
      <w:r w:rsidR="00A16A16">
        <w:rPr>
          <w:rFonts w:eastAsia="Times New Roman" w:cstheme="minorHAnsi"/>
          <w:lang w:eastAsia="en-GB"/>
        </w:rPr>
        <w:t xml:space="preserve"> </w:t>
      </w:r>
      <w:r w:rsidR="00A16A16">
        <w:rPr>
          <w:rFonts w:eastAsia="Times New Roman" w:cstheme="minorHAnsi"/>
          <w:lang w:eastAsia="en-GB"/>
        </w:rPr>
        <w:t>From this, one can conclude that no scientific method is without its limitations, and that it is of utmost importance to keep those in mind.</w:t>
      </w:r>
      <w:r w:rsidR="00864146">
        <w:rPr>
          <w:rFonts w:eastAsia="Times New Roman" w:cstheme="minorHAnsi"/>
          <w:lang w:eastAsia="en-GB"/>
        </w:rPr>
        <w:br/>
        <w:t xml:space="preserve"> </w:t>
      </w:r>
      <w:r w:rsidR="00864146">
        <w:rPr>
          <w:rFonts w:eastAsia="Times New Roman" w:cstheme="minorHAnsi"/>
          <w:lang w:eastAsia="en-GB"/>
        </w:rPr>
        <w:tab/>
      </w:r>
      <w:r w:rsidR="00832B60">
        <w:rPr>
          <w:rFonts w:eastAsia="Times New Roman" w:cstheme="minorHAnsi"/>
          <w:lang w:eastAsia="en-GB"/>
        </w:rPr>
        <w:t xml:space="preserve">In another paper, Bayliss assesses the quality of other research done using Bayesian modelling and comes to an important conclusion, namely that it is extremely important that one provides </w:t>
      </w:r>
      <w:r w:rsidR="00864146">
        <w:rPr>
          <w:rFonts w:eastAsia="Times New Roman" w:cstheme="minorHAnsi"/>
          <w:lang w:eastAsia="en-GB"/>
        </w:rPr>
        <w:t xml:space="preserve">enough </w:t>
      </w:r>
      <w:r w:rsidR="00832B60">
        <w:rPr>
          <w:rFonts w:eastAsia="Times New Roman" w:cstheme="minorHAnsi"/>
          <w:lang w:eastAsia="en-GB"/>
        </w:rPr>
        <w:t>information about the samples used,</w:t>
      </w:r>
      <w:r w:rsidR="00864146">
        <w:rPr>
          <w:rFonts w:eastAsia="Times New Roman" w:cstheme="minorHAnsi"/>
          <w:lang w:eastAsia="en-GB"/>
        </w:rPr>
        <w:t xml:space="preserve"> as well as details of the radiocarbon measurements and the methods used to attain those results</w:t>
      </w:r>
      <w:r w:rsidR="00864146">
        <w:rPr>
          <w:rStyle w:val="Voetnootmarkering"/>
          <w:rFonts w:eastAsia="Times New Roman" w:cstheme="minorHAnsi"/>
          <w:lang w:eastAsia="en-GB"/>
        </w:rPr>
        <w:footnoteReference w:id="10"/>
      </w:r>
      <w:r w:rsidR="00864146">
        <w:rPr>
          <w:rFonts w:eastAsia="Times New Roman" w:cstheme="minorHAnsi"/>
          <w:lang w:eastAsia="en-GB"/>
        </w:rPr>
        <w:t>.</w:t>
      </w:r>
      <w:r w:rsidR="00AC6419">
        <w:rPr>
          <w:rFonts w:eastAsia="Times New Roman" w:cstheme="minorHAnsi"/>
          <w:lang w:eastAsia="en-GB"/>
        </w:rPr>
        <w:t xml:space="preserve"> Some of his findings are quite shocking, as nearly a quarter of the papers analysed lacked information on the sample used for dating being short-lived or not</w:t>
      </w:r>
      <w:r w:rsidR="00A16A16">
        <w:rPr>
          <w:rStyle w:val="Voetnootmarkering"/>
          <w:rFonts w:eastAsia="Times New Roman" w:cstheme="minorHAnsi"/>
          <w:lang w:eastAsia="en-GB"/>
        </w:rPr>
        <w:footnoteReference w:id="11"/>
      </w:r>
      <w:r w:rsidR="00AC6419">
        <w:rPr>
          <w:rFonts w:eastAsia="Times New Roman" w:cstheme="minorHAnsi"/>
          <w:lang w:eastAsia="en-GB"/>
        </w:rPr>
        <w:t>. In addition,</w:t>
      </w:r>
      <w:r w:rsidR="00AC6419">
        <w:rPr>
          <w:rFonts w:eastAsia="Times New Roman" w:cstheme="minorHAnsi"/>
          <w:lang w:eastAsia="en-GB"/>
        </w:rPr>
        <w:br/>
        <w:t xml:space="preserve">almost 40 percent </w:t>
      </w:r>
      <w:r w:rsidR="00A16A16">
        <w:rPr>
          <w:rFonts w:eastAsia="Times New Roman" w:cstheme="minorHAnsi"/>
          <w:lang w:eastAsia="en-GB"/>
        </w:rPr>
        <w:t>of applications did not make clear whether the sample was either single-entity or not</w:t>
      </w:r>
      <w:r w:rsidR="00A16A16">
        <w:rPr>
          <w:rStyle w:val="Voetnootmarkering"/>
          <w:rFonts w:eastAsia="Times New Roman" w:cstheme="minorHAnsi"/>
          <w:lang w:eastAsia="en-GB"/>
        </w:rPr>
        <w:footnoteReference w:id="12"/>
      </w:r>
      <w:r w:rsidR="00A16A16">
        <w:rPr>
          <w:rFonts w:eastAsia="Times New Roman" w:cstheme="minorHAnsi"/>
          <w:lang w:eastAsia="en-GB"/>
        </w:rPr>
        <w:t xml:space="preserve">. The intent of the inclusion of these data is not to mock any research done, but rather to stress the fact that each scientific method requires the right approach, such as including ways to be checked. </w:t>
      </w:r>
      <w:r w:rsidR="00DD5E43">
        <w:rPr>
          <w:rFonts w:eastAsia="Times New Roman" w:cstheme="minorHAnsi"/>
          <w:lang w:eastAsia="en-GB"/>
        </w:rPr>
        <w:t>Moreover, through correcting such mistakes, Bayesian modelling becomes an ever more viable method.</w:t>
      </w:r>
      <w:r w:rsidR="00AC6419">
        <w:rPr>
          <w:rFonts w:eastAsia="Times New Roman" w:cstheme="minorHAnsi"/>
          <w:lang w:eastAsia="en-GB"/>
        </w:rPr>
        <w:br/>
      </w:r>
      <w:r w:rsidR="00864146">
        <w:rPr>
          <w:rFonts w:eastAsia="Times New Roman" w:cstheme="minorHAnsi"/>
          <w:lang w:eastAsia="en-GB"/>
        </w:rPr>
        <w:br/>
      </w:r>
      <w:r w:rsidR="00864146">
        <w:rPr>
          <w:rFonts w:eastAsia="Times New Roman" w:cstheme="minorHAnsi"/>
          <w:lang w:eastAsia="en-GB"/>
        </w:rPr>
        <w:br/>
      </w:r>
      <w:r w:rsidR="00864146">
        <w:rPr>
          <w:rFonts w:eastAsia="Times New Roman" w:cstheme="minorHAnsi"/>
          <w:lang w:eastAsia="en-GB"/>
        </w:rPr>
        <w:tab/>
        <w:t xml:space="preserve">Finally, the application of Bayesian modelling to archaeology will be demonstrated by means of a case study of Stonehenge. </w:t>
      </w:r>
      <w:r w:rsidR="00F057BF">
        <w:rPr>
          <w:rFonts w:eastAsia="Times New Roman" w:cstheme="minorHAnsi"/>
          <w:lang w:eastAsia="en-GB"/>
        </w:rPr>
        <w:t xml:space="preserve">Stonehenge, a world-famous </w:t>
      </w:r>
      <w:r w:rsidR="005C5847">
        <w:rPr>
          <w:rFonts w:eastAsia="Times New Roman" w:cstheme="minorHAnsi"/>
          <w:lang w:eastAsia="en-GB"/>
        </w:rPr>
        <w:t xml:space="preserve">Neolithic monument in southern England, has been the subject of countless archaeological studies. However, many questions about this stone construction have not yet been answered. One of the most interesting aspects of Stonehenge is when it was constructed, whether it be in one effort or multiple phases. The oldest ideas surrounding the building phases of Stonehenge revolve around a single building phase, though this idea was quickly replaced by a new theory: the </w:t>
      </w:r>
      <w:r w:rsidR="005C5847" w:rsidRPr="005C5847">
        <w:rPr>
          <w:rFonts w:eastAsia="Times New Roman" w:cstheme="minorHAnsi"/>
          <w:i/>
          <w:lang w:eastAsia="en-GB"/>
        </w:rPr>
        <w:t>Two Date Theory</w:t>
      </w:r>
      <w:r w:rsidR="005C5847">
        <w:rPr>
          <w:rFonts w:eastAsia="Times New Roman" w:cstheme="minorHAnsi"/>
          <w:lang w:eastAsia="en-GB"/>
        </w:rPr>
        <w:t xml:space="preserve">, introduced by R. Newall in 1929. However, when carbon dating was introduced, much more scientific analyses of the building phases could be carried out.  </w:t>
      </w:r>
      <w:r w:rsidR="005C5847">
        <w:rPr>
          <w:rFonts w:eastAsia="Times New Roman" w:cstheme="minorHAnsi"/>
          <w:lang w:eastAsia="en-GB"/>
        </w:rPr>
        <w:br/>
      </w:r>
      <w:r w:rsidR="00714144">
        <w:rPr>
          <w:rFonts w:eastAsia="Times New Roman" w:cstheme="minorHAnsi"/>
          <w:lang w:eastAsia="en-GB"/>
        </w:rPr>
        <w:lastRenderedPageBreak/>
        <w:t xml:space="preserve"> </w:t>
      </w:r>
      <w:r w:rsidR="00714144">
        <w:rPr>
          <w:rFonts w:eastAsia="Times New Roman" w:cstheme="minorHAnsi"/>
          <w:lang w:eastAsia="en-GB"/>
        </w:rPr>
        <w:tab/>
      </w:r>
      <w:r w:rsidR="005C5847">
        <w:rPr>
          <w:rFonts w:eastAsia="Times New Roman" w:cstheme="minorHAnsi"/>
          <w:lang w:eastAsia="en-GB"/>
        </w:rPr>
        <w:t>R. Cleal et al. were the first to apply Bayesian modelling to the datings of Stonehenge in 1995, providing us with a solid scheme of proposed building phases. Until, in 2012, when T. Darvill et al. revised the older building phases based on new information and without earlier errors</w:t>
      </w:r>
      <w:r w:rsidR="000F4BA1">
        <w:rPr>
          <w:rStyle w:val="Voetnootmarkering"/>
          <w:rFonts w:eastAsia="Times New Roman" w:cstheme="minorHAnsi"/>
          <w:lang w:eastAsia="en-GB"/>
        </w:rPr>
        <w:footnoteReference w:id="13"/>
      </w:r>
      <w:r w:rsidR="005C5847">
        <w:rPr>
          <w:rFonts w:eastAsia="Times New Roman" w:cstheme="minorHAnsi"/>
          <w:lang w:eastAsia="en-GB"/>
        </w:rPr>
        <w:t xml:space="preserve">. </w:t>
      </w:r>
      <w:r w:rsidR="000F4BA1">
        <w:rPr>
          <w:rFonts w:eastAsia="Times New Roman" w:cstheme="minorHAnsi"/>
          <w:lang w:eastAsia="en-GB"/>
        </w:rPr>
        <w:t xml:space="preserve">It became clear that the previous Bayesian model had incorporated some mistakes into it, such as wrong interpretation of earlier samples and some mistakes in the understanding of the stratigraphy. Along with these corrections, the researchers also added in new dates into the model from more recent excavations, creating a new, revised model of the building phases of Stonehenge. </w:t>
      </w:r>
      <w:r w:rsidR="00714144">
        <w:rPr>
          <w:rFonts w:eastAsia="Times New Roman" w:cstheme="minorHAnsi"/>
          <w:lang w:eastAsia="en-GB"/>
        </w:rPr>
        <w:t xml:space="preserve">This case study exemplifies how Bayesian modelling not only shaped the current understanding of Stonehenge’s construction phases, but also how useful it is to improve upon older research with newer information. </w:t>
      </w:r>
      <w:r w:rsidR="000F4BA1">
        <w:rPr>
          <w:rFonts w:eastAsia="Times New Roman" w:cstheme="minorHAnsi"/>
          <w:lang w:eastAsia="en-GB"/>
        </w:rPr>
        <w:br/>
      </w:r>
      <w:r w:rsidR="000F4BA1">
        <w:rPr>
          <w:rFonts w:eastAsia="Times New Roman" w:cstheme="minorHAnsi"/>
          <w:lang w:eastAsia="en-GB"/>
        </w:rPr>
        <w:br/>
        <w:t xml:space="preserve">In conclusion, Bayesian modelling is a wonderful addition to the toolbox of scientific methods available to archaeologists. What one can take away from this, is that with each new invention or improvement, older research ought to be scrutinised. Science is all about revisions, corrections and disproving what is wrong, and archaeology is no different. While archaeology has come a long way from equating pots to people groups, it is important to remember that much could still be improved. Even when applying proper scientific techniques to archaeological research, it is key to supply your paper with the necessary information to verify that research. Yet, as it stands, Bayesian modelling </w:t>
      </w:r>
      <w:r w:rsidR="00034ECB">
        <w:rPr>
          <w:rFonts w:eastAsia="Times New Roman" w:cstheme="minorHAnsi"/>
          <w:lang w:eastAsia="en-GB"/>
        </w:rPr>
        <w:t>combined with archaeology promises a bright future of interdisciplinary co-operation that is here to stay.</w:t>
      </w:r>
    </w:p>
    <w:p w:rsidR="00005DE5" w:rsidRPr="000A5D55" w:rsidRDefault="000A5D55">
      <w:pPr>
        <w:rPr>
          <w:rFonts w:eastAsiaTheme="minorEastAsia" w:cstheme="minorHAnsi"/>
        </w:rPr>
      </w:pPr>
      <w:r w:rsidRPr="000A5D55">
        <w:rPr>
          <w:rFonts w:eastAsiaTheme="minorEastAsia" w:cstheme="minorHAnsi"/>
        </w:rPr>
        <w:t xml:space="preserve"> </w:t>
      </w:r>
    </w:p>
    <w:p w:rsidR="00095866" w:rsidRPr="005F04C0" w:rsidRDefault="00095866">
      <w:pPr>
        <w:rPr>
          <w:rFonts w:eastAsiaTheme="minorEastAsia"/>
        </w:rPr>
      </w:pPr>
      <w:r>
        <w:br/>
      </w:r>
      <w:r>
        <w:tab/>
      </w:r>
    </w:p>
    <w:p w:rsidR="009B2031" w:rsidRDefault="009B2031"/>
    <w:p w:rsidR="009B2031" w:rsidRDefault="009B2031"/>
    <w:p w:rsidR="00FA0E28" w:rsidRDefault="00FA0E28"/>
    <w:p w:rsidR="009B2031" w:rsidRDefault="009B2031"/>
    <w:p w:rsidR="009B2031" w:rsidRDefault="009B2031"/>
    <w:p w:rsidR="009B2031" w:rsidRDefault="009B2031"/>
    <w:p w:rsidR="009B2031" w:rsidRDefault="009B2031"/>
    <w:p w:rsidR="009B2031" w:rsidRDefault="009B2031"/>
    <w:p w:rsidR="009B2031" w:rsidRDefault="009B2031"/>
    <w:p w:rsidR="009B2031" w:rsidRDefault="009B2031"/>
    <w:p w:rsidR="009B2031" w:rsidRDefault="009B2031"/>
    <w:p w:rsidR="009B2031" w:rsidRPr="001A01E7" w:rsidRDefault="004C5AA9" w:rsidP="002B6482">
      <w:pPr>
        <w:pStyle w:val="Normaalweb"/>
        <w:spacing w:before="0" w:beforeAutospacing="0" w:after="320" w:afterAutospacing="0"/>
      </w:pPr>
      <w:r>
        <w:br/>
      </w:r>
      <w:r>
        <w:br/>
      </w:r>
      <w:r>
        <w:br/>
      </w:r>
      <w:r>
        <w:rPr>
          <w:u w:val="single"/>
        </w:rPr>
        <w:lastRenderedPageBreak/>
        <w:t>Bibliography</w:t>
      </w:r>
      <w:r w:rsidR="009B2031" w:rsidRPr="004C5AA9">
        <w:rPr>
          <w:rFonts w:cstheme="minorHAnsi"/>
          <w:u w:val="single"/>
        </w:rPr>
        <w:br/>
      </w:r>
      <w:r w:rsidR="00E27BEB">
        <w:rPr>
          <w:rFonts w:cstheme="minorHAnsi"/>
        </w:rPr>
        <w:br/>
      </w:r>
      <w:r w:rsidR="00E27BEB">
        <w:rPr>
          <w:rFonts w:asciiTheme="minorHAnsi" w:hAnsiTheme="minorHAnsi" w:cstheme="minorHAnsi"/>
          <w:sz w:val="22"/>
          <w:szCs w:val="22"/>
        </w:rPr>
        <w:t>-Bayliss, A., 2015:</w:t>
      </w:r>
      <w:r w:rsidR="00E27BEB" w:rsidRPr="00481C2C">
        <w:rPr>
          <w:rFonts w:asciiTheme="minorHAnsi" w:hAnsiTheme="minorHAnsi" w:cstheme="minorHAnsi"/>
          <w:sz w:val="22"/>
          <w:szCs w:val="22"/>
        </w:rPr>
        <w:t xml:space="preserve"> </w:t>
      </w:r>
      <w:r w:rsidR="00E27BEB" w:rsidRPr="00481C2C">
        <w:rPr>
          <w:rFonts w:asciiTheme="minorHAnsi" w:hAnsiTheme="minorHAnsi" w:cstheme="minorHAnsi"/>
          <w:i/>
          <w:sz w:val="22"/>
          <w:szCs w:val="22"/>
        </w:rPr>
        <w:t>Quality in Bayesian chronological models in archaeology</w:t>
      </w:r>
      <w:r w:rsidR="00E27BEB">
        <w:rPr>
          <w:rFonts w:asciiTheme="minorHAnsi" w:hAnsiTheme="minorHAnsi" w:cstheme="minorHAnsi"/>
          <w:sz w:val="22"/>
          <w:szCs w:val="22"/>
        </w:rPr>
        <w:t>,</w:t>
      </w:r>
      <w:r w:rsidR="00E27BEB" w:rsidRPr="00481C2C">
        <w:rPr>
          <w:rFonts w:asciiTheme="minorHAnsi" w:hAnsiTheme="minorHAnsi" w:cstheme="minorHAnsi"/>
          <w:sz w:val="22"/>
          <w:szCs w:val="22"/>
        </w:rPr>
        <w:t xml:space="preserve"> World Archaeology,</w:t>
      </w:r>
      <w:r w:rsidR="00E27BEB">
        <w:rPr>
          <w:rFonts w:asciiTheme="minorHAnsi" w:hAnsiTheme="minorHAnsi" w:cstheme="minorHAnsi"/>
          <w:sz w:val="22"/>
          <w:szCs w:val="22"/>
        </w:rPr>
        <w:t xml:space="preserve"> </w:t>
      </w:r>
      <w:r w:rsidR="00E27BEB">
        <w:rPr>
          <w:rFonts w:asciiTheme="minorHAnsi" w:hAnsiTheme="minorHAnsi" w:cstheme="minorHAnsi"/>
          <w:sz w:val="22"/>
          <w:szCs w:val="22"/>
        </w:rPr>
        <w:br/>
        <w:t>Vol.</w:t>
      </w:r>
      <w:r w:rsidR="00E27BEB" w:rsidRPr="00481C2C">
        <w:rPr>
          <w:rFonts w:asciiTheme="minorHAnsi" w:hAnsiTheme="minorHAnsi" w:cstheme="minorHAnsi"/>
          <w:sz w:val="22"/>
          <w:szCs w:val="22"/>
        </w:rPr>
        <w:t xml:space="preserve"> 47</w:t>
      </w:r>
      <w:r w:rsidR="00E27BEB">
        <w:rPr>
          <w:rFonts w:asciiTheme="minorHAnsi" w:hAnsiTheme="minorHAnsi" w:cstheme="minorHAnsi"/>
          <w:sz w:val="22"/>
          <w:szCs w:val="22"/>
        </w:rPr>
        <w:t>, No. 4</w:t>
      </w:r>
      <w:r w:rsidR="00E27BEB" w:rsidRPr="00481C2C">
        <w:rPr>
          <w:rFonts w:asciiTheme="minorHAnsi" w:hAnsiTheme="minorHAnsi" w:cstheme="minorHAnsi"/>
          <w:sz w:val="22"/>
          <w:szCs w:val="22"/>
        </w:rPr>
        <w:t>,</w:t>
      </w:r>
      <w:r w:rsidR="00E27BEB">
        <w:rPr>
          <w:rFonts w:asciiTheme="minorHAnsi" w:hAnsiTheme="minorHAnsi" w:cstheme="minorHAnsi"/>
          <w:sz w:val="22"/>
          <w:szCs w:val="22"/>
        </w:rPr>
        <w:t xml:space="preserve"> p.</w:t>
      </w:r>
      <w:r w:rsidR="00E27BEB" w:rsidRPr="00481C2C">
        <w:rPr>
          <w:rFonts w:asciiTheme="minorHAnsi" w:hAnsiTheme="minorHAnsi" w:cstheme="minorHAnsi"/>
          <w:sz w:val="22"/>
          <w:szCs w:val="22"/>
        </w:rPr>
        <w:t xml:space="preserve"> 677–700</w:t>
      </w:r>
      <w:r w:rsidR="00E27BEB">
        <w:rPr>
          <w:rFonts w:cstheme="minorHAnsi"/>
        </w:rPr>
        <w:br/>
      </w:r>
      <w:bookmarkStart w:id="0" w:name="_GoBack"/>
      <w:bookmarkEnd w:id="0"/>
      <w:r w:rsidR="002B6482">
        <w:rPr>
          <w:rFonts w:cstheme="minorHAnsi"/>
        </w:rPr>
        <w:br/>
      </w:r>
      <w:r w:rsidR="002B6482">
        <w:rPr>
          <w:rFonts w:asciiTheme="minorHAnsi" w:hAnsiTheme="minorHAnsi" w:cstheme="minorHAnsi"/>
          <w:sz w:val="22"/>
          <w:szCs w:val="22"/>
        </w:rPr>
        <w:t>-</w:t>
      </w:r>
      <w:r w:rsidR="002B6482" w:rsidRPr="00481C2C">
        <w:rPr>
          <w:rFonts w:asciiTheme="minorHAnsi" w:hAnsiTheme="minorHAnsi" w:cstheme="minorHAnsi"/>
          <w:sz w:val="22"/>
          <w:szCs w:val="22"/>
        </w:rPr>
        <w:t xml:space="preserve">Bayliss, A., </w:t>
      </w:r>
      <w:r w:rsidR="002B6482">
        <w:rPr>
          <w:rFonts w:asciiTheme="minorHAnsi" w:hAnsiTheme="minorHAnsi" w:cstheme="minorHAnsi"/>
          <w:sz w:val="22"/>
          <w:szCs w:val="22"/>
        </w:rPr>
        <w:t>C. B. Ramsey,</w:t>
      </w:r>
      <w:r w:rsidR="002B6482" w:rsidRPr="00481C2C">
        <w:rPr>
          <w:rFonts w:asciiTheme="minorHAnsi" w:hAnsiTheme="minorHAnsi" w:cstheme="minorHAnsi"/>
          <w:sz w:val="22"/>
          <w:szCs w:val="22"/>
        </w:rPr>
        <w:t xml:space="preserve"> </w:t>
      </w:r>
      <w:r w:rsidR="002B6482">
        <w:rPr>
          <w:rFonts w:asciiTheme="minorHAnsi" w:hAnsiTheme="minorHAnsi" w:cstheme="minorHAnsi"/>
          <w:sz w:val="22"/>
          <w:szCs w:val="22"/>
        </w:rPr>
        <w:t xml:space="preserve">J. van der Plicht, </w:t>
      </w:r>
      <w:r w:rsidR="002B6482" w:rsidRPr="00481C2C">
        <w:rPr>
          <w:rFonts w:asciiTheme="minorHAnsi" w:hAnsiTheme="minorHAnsi" w:cstheme="minorHAnsi"/>
          <w:sz w:val="22"/>
          <w:szCs w:val="22"/>
        </w:rPr>
        <w:t xml:space="preserve">A. </w:t>
      </w:r>
      <w:r w:rsidR="002B6482">
        <w:rPr>
          <w:rFonts w:asciiTheme="minorHAnsi" w:hAnsiTheme="minorHAnsi" w:cstheme="minorHAnsi"/>
          <w:sz w:val="22"/>
          <w:szCs w:val="22"/>
        </w:rPr>
        <w:t>Whittle, 2007:</w:t>
      </w:r>
      <w:r w:rsidR="002B6482" w:rsidRPr="00481C2C">
        <w:rPr>
          <w:rFonts w:asciiTheme="minorHAnsi" w:hAnsiTheme="minorHAnsi" w:cstheme="minorHAnsi"/>
          <w:sz w:val="22"/>
          <w:szCs w:val="22"/>
        </w:rPr>
        <w:t xml:space="preserve"> </w:t>
      </w:r>
      <w:r w:rsidR="002B6482" w:rsidRPr="00481C2C">
        <w:rPr>
          <w:rFonts w:asciiTheme="minorHAnsi" w:hAnsiTheme="minorHAnsi" w:cstheme="minorHAnsi"/>
          <w:i/>
          <w:sz w:val="22"/>
          <w:szCs w:val="22"/>
        </w:rPr>
        <w:t>Bradshaw and Bayes: Towards a Timetable for the Neolithic</w:t>
      </w:r>
      <w:r w:rsidR="002B6482">
        <w:rPr>
          <w:rFonts w:asciiTheme="minorHAnsi" w:hAnsiTheme="minorHAnsi" w:cstheme="minorHAnsi"/>
          <w:sz w:val="22"/>
          <w:szCs w:val="22"/>
        </w:rPr>
        <w:t>,</w:t>
      </w:r>
      <w:r w:rsidR="002B6482" w:rsidRPr="00481C2C">
        <w:rPr>
          <w:rFonts w:asciiTheme="minorHAnsi" w:hAnsiTheme="minorHAnsi" w:cstheme="minorHAnsi"/>
          <w:sz w:val="22"/>
          <w:szCs w:val="22"/>
        </w:rPr>
        <w:t xml:space="preserve"> Cambridge Arc</w:t>
      </w:r>
      <w:r w:rsidR="002B6482">
        <w:rPr>
          <w:rFonts w:asciiTheme="minorHAnsi" w:hAnsiTheme="minorHAnsi" w:cstheme="minorHAnsi"/>
          <w:sz w:val="22"/>
          <w:szCs w:val="22"/>
        </w:rPr>
        <w:t>haeological Journal, Vol. 17, Supplement 1, p. 1-28</w:t>
      </w:r>
      <w:r w:rsidR="002B6482">
        <w:rPr>
          <w:rFonts w:asciiTheme="minorHAnsi" w:hAnsiTheme="minorHAnsi" w:cstheme="minorHAnsi"/>
          <w:sz w:val="22"/>
          <w:szCs w:val="22"/>
        </w:rPr>
        <w:br/>
      </w:r>
      <w:r w:rsidR="002B6482">
        <w:rPr>
          <w:rFonts w:asciiTheme="minorHAnsi" w:hAnsiTheme="minorHAnsi" w:cstheme="minorHAnsi"/>
          <w:sz w:val="22"/>
          <w:szCs w:val="22"/>
        </w:rPr>
        <w:br/>
      </w:r>
      <w:r w:rsidRPr="002B6482">
        <w:rPr>
          <w:rFonts w:asciiTheme="minorHAnsi" w:hAnsiTheme="minorHAnsi" w:cstheme="minorHAnsi"/>
          <w:sz w:val="22"/>
          <w:szCs w:val="22"/>
        </w:rPr>
        <w:t>-</w:t>
      </w:r>
      <w:r w:rsidR="009B2031" w:rsidRPr="002B6482">
        <w:rPr>
          <w:rFonts w:asciiTheme="minorHAnsi" w:hAnsiTheme="minorHAnsi" w:cstheme="minorHAnsi"/>
          <w:sz w:val="22"/>
          <w:szCs w:val="22"/>
        </w:rPr>
        <w:t xml:space="preserve">Bayes, T. &amp; R. Price, 1763: </w:t>
      </w:r>
      <w:r w:rsidR="009B2031" w:rsidRPr="002B6482">
        <w:rPr>
          <w:rFonts w:asciiTheme="minorHAnsi" w:hAnsiTheme="minorHAnsi" w:cstheme="minorHAnsi"/>
          <w:i/>
          <w:sz w:val="22"/>
          <w:szCs w:val="22"/>
        </w:rPr>
        <w:t>An Essay towards Solving a Problem in the Doctrine of Chances</w:t>
      </w:r>
      <w:r w:rsidR="009B2031" w:rsidRPr="002B6482">
        <w:rPr>
          <w:rFonts w:asciiTheme="minorHAnsi" w:hAnsiTheme="minorHAnsi" w:cstheme="minorHAnsi"/>
          <w:sz w:val="22"/>
          <w:szCs w:val="22"/>
        </w:rPr>
        <w:t xml:space="preserve">, by the Late </w:t>
      </w:r>
      <w:r w:rsidRPr="002B6482">
        <w:rPr>
          <w:rFonts w:asciiTheme="minorHAnsi" w:hAnsiTheme="minorHAnsi" w:cstheme="minorHAnsi"/>
          <w:sz w:val="22"/>
          <w:szCs w:val="22"/>
        </w:rPr>
        <w:t xml:space="preserve">  </w:t>
      </w:r>
      <w:r w:rsidR="009B2031" w:rsidRPr="002B6482">
        <w:rPr>
          <w:rFonts w:asciiTheme="minorHAnsi" w:hAnsiTheme="minorHAnsi" w:cstheme="minorHAnsi"/>
          <w:sz w:val="22"/>
          <w:szCs w:val="22"/>
        </w:rPr>
        <w:t xml:space="preserve">Rev. Mr. Bayes, F. R. S. Communicated by Mr. Price, in a Letter to John Canton, A. M. F. R. S. </w:t>
      </w:r>
      <w:r w:rsidRPr="002B6482">
        <w:rPr>
          <w:rFonts w:asciiTheme="minorHAnsi" w:hAnsiTheme="minorHAnsi" w:cstheme="minorHAnsi"/>
          <w:sz w:val="22"/>
          <w:szCs w:val="22"/>
        </w:rPr>
        <w:t xml:space="preserve"> </w:t>
      </w:r>
      <w:r w:rsidR="009B2031" w:rsidRPr="002B6482">
        <w:rPr>
          <w:rFonts w:asciiTheme="minorHAnsi" w:hAnsiTheme="minorHAnsi" w:cstheme="minorHAnsi"/>
          <w:i/>
          <w:iCs/>
          <w:sz w:val="22"/>
          <w:szCs w:val="22"/>
        </w:rPr>
        <w:t>Philosophical Transactions (1683-1775),</w:t>
      </w:r>
      <w:r w:rsidR="009B2031" w:rsidRPr="002B6482">
        <w:rPr>
          <w:rFonts w:asciiTheme="minorHAnsi" w:hAnsiTheme="minorHAnsi" w:cstheme="minorHAnsi"/>
          <w:sz w:val="22"/>
          <w:szCs w:val="22"/>
        </w:rPr>
        <w:t xml:space="preserve"> </w:t>
      </w:r>
      <w:r w:rsidR="009B2031" w:rsidRPr="002B6482">
        <w:rPr>
          <w:rFonts w:asciiTheme="minorHAnsi" w:hAnsiTheme="minorHAnsi" w:cstheme="minorHAnsi"/>
          <w:i/>
          <w:iCs/>
          <w:sz w:val="22"/>
          <w:szCs w:val="22"/>
        </w:rPr>
        <w:t>53</w:t>
      </w:r>
      <w:r w:rsidR="009B2031" w:rsidRPr="002B6482">
        <w:rPr>
          <w:rFonts w:asciiTheme="minorHAnsi" w:hAnsiTheme="minorHAnsi" w:cstheme="minorHAnsi"/>
          <w:sz w:val="22"/>
          <w:szCs w:val="22"/>
        </w:rPr>
        <w:t>, 370-418</w:t>
      </w:r>
      <w:r w:rsidR="009B2031" w:rsidRPr="009B2031">
        <w:rPr>
          <w:rFonts w:cstheme="minorHAnsi"/>
        </w:rPr>
        <w:t xml:space="preserve"> </w:t>
      </w:r>
      <w:r w:rsidR="001A01E7">
        <w:br/>
      </w:r>
      <w:r w:rsidR="001A01E7">
        <w:br/>
      </w:r>
      <w:r w:rsidR="001A01E7" w:rsidRPr="002B6482">
        <w:rPr>
          <w:rFonts w:asciiTheme="minorHAnsi" w:hAnsiTheme="minorHAnsi" w:cstheme="minorHAnsi"/>
          <w:sz w:val="22"/>
          <w:szCs w:val="22"/>
        </w:rPr>
        <w:t xml:space="preserve">-Darvill, T., Marshall, P., Pearson, M., &amp; Wainwright, G., 2012: </w:t>
      </w:r>
      <w:r w:rsidR="001A01E7" w:rsidRPr="002B6482">
        <w:rPr>
          <w:rFonts w:asciiTheme="minorHAnsi" w:hAnsiTheme="minorHAnsi" w:cstheme="minorHAnsi"/>
          <w:i/>
          <w:sz w:val="22"/>
          <w:szCs w:val="22"/>
        </w:rPr>
        <w:t>Stonehenge remodelled</w:t>
      </w:r>
      <w:r w:rsidR="001A01E7" w:rsidRPr="002B6482">
        <w:rPr>
          <w:rFonts w:asciiTheme="minorHAnsi" w:hAnsiTheme="minorHAnsi" w:cstheme="minorHAnsi"/>
          <w:sz w:val="22"/>
          <w:szCs w:val="22"/>
        </w:rPr>
        <w:t xml:space="preserve">, </w:t>
      </w:r>
      <w:r w:rsidR="001A01E7" w:rsidRPr="002B6482">
        <w:rPr>
          <w:rFonts w:asciiTheme="minorHAnsi" w:hAnsiTheme="minorHAnsi" w:cstheme="minorHAnsi"/>
          <w:iCs/>
          <w:sz w:val="22"/>
          <w:szCs w:val="22"/>
        </w:rPr>
        <w:t>Antiquity,</w:t>
      </w:r>
      <w:r w:rsidR="001A01E7" w:rsidRPr="002B6482">
        <w:rPr>
          <w:rFonts w:asciiTheme="minorHAnsi" w:hAnsiTheme="minorHAnsi" w:cstheme="minorHAnsi"/>
          <w:sz w:val="22"/>
          <w:szCs w:val="22"/>
        </w:rPr>
        <w:t xml:space="preserve"> Vol. </w:t>
      </w:r>
      <w:r w:rsidR="001A01E7" w:rsidRPr="002B6482">
        <w:rPr>
          <w:rFonts w:asciiTheme="minorHAnsi" w:hAnsiTheme="minorHAnsi" w:cstheme="minorHAnsi"/>
          <w:iCs/>
          <w:sz w:val="22"/>
          <w:szCs w:val="22"/>
        </w:rPr>
        <w:t xml:space="preserve">86, No. </w:t>
      </w:r>
      <w:r w:rsidR="001A01E7" w:rsidRPr="002B6482">
        <w:rPr>
          <w:rFonts w:asciiTheme="minorHAnsi" w:hAnsiTheme="minorHAnsi" w:cstheme="minorHAnsi"/>
          <w:sz w:val="22"/>
          <w:szCs w:val="22"/>
        </w:rPr>
        <w:t>334, p.</w:t>
      </w:r>
      <w:r w:rsidR="001A01E7">
        <w:rPr>
          <w:rFonts w:asciiTheme="minorHAnsi" w:hAnsiTheme="minorHAnsi" w:cstheme="minorHAnsi"/>
          <w:sz w:val="22"/>
          <w:szCs w:val="22"/>
        </w:rPr>
        <w:t xml:space="preserve"> 1021-1040</w:t>
      </w:r>
      <w:r w:rsidR="001A01E7">
        <w:br/>
      </w:r>
      <w:r w:rsidR="001A01E7">
        <w:br/>
      </w:r>
      <w:r w:rsidR="001A01E7">
        <w:rPr>
          <w:rFonts w:asciiTheme="minorHAnsi" w:hAnsiTheme="minorHAnsi" w:cstheme="minorHAnsi"/>
          <w:sz w:val="22"/>
          <w:szCs w:val="22"/>
        </w:rPr>
        <w:t xml:space="preserve">-Litton, C. D. &amp; C. E. Buck, 1995: </w:t>
      </w:r>
      <w:r w:rsidR="001A01E7">
        <w:rPr>
          <w:rFonts w:asciiTheme="minorHAnsi" w:hAnsiTheme="minorHAnsi" w:cstheme="minorHAnsi"/>
          <w:i/>
          <w:sz w:val="22"/>
          <w:szCs w:val="22"/>
        </w:rPr>
        <w:t>The Bayesian Approach to the Interpretation of Archaeological Data</w:t>
      </w:r>
      <w:r w:rsidR="001A01E7">
        <w:rPr>
          <w:rFonts w:asciiTheme="minorHAnsi" w:hAnsiTheme="minorHAnsi" w:cstheme="minorHAnsi"/>
          <w:sz w:val="22"/>
          <w:szCs w:val="22"/>
        </w:rPr>
        <w:t>, Archaeometry, Vol. 37, No. 1, p. 1-24</w:t>
      </w:r>
      <w:r w:rsidR="001A01E7">
        <w:rPr>
          <w:rFonts w:asciiTheme="minorHAnsi" w:hAnsiTheme="minorHAnsi" w:cstheme="minorHAnsi"/>
          <w:sz w:val="22"/>
          <w:szCs w:val="22"/>
        </w:rPr>
        <w:br/>
      </w:r>
      <w:r w:rsidR="001A01E7">
        <w:br/>
      </w:r>
      <w:r>
        <w:t>-</w:t>
      </w:r>
      <w:r w:rsidRPr="004C5AA9">
        <w:rPr>
          <w:rFonts w:asciiTheme="minorHAnsi" w:hAnsiTheme="minorHAnsi" w:cstheme="minorHAnsi"/>
          <w:sz w:val="22"/>
          <w:szCs w:val="22"/>
        </w:rPr>
        <w:t>Ramsey,</w:t>
      </w:r>
      <w:r>
        <w:rPr>
          <w:rFonts w:asciiTheme="minorHAnsi" w:hAnsiTheme="minorHAnsi" w:cstheme="minorHAnsi"/>
          <w:sz w:val="22"/>
          <w:szCs w:val="22"/>
        </w:rPr>
        <w:t xml:space="preserve"> C. B.,</w:t>
      </w:r>
      <w:r w:rsidRPr="004C5AA9">
        <w:rPr>
          <w:rFonts w:asciiTheme="minorHAnsi" w:hAnsiTheme="minorHAnsi" w:cstheme="minorHAnsi"/>
          <w:sz w:val="22"/>
          <w:szCs w:val="22"/>
        </w:rPr>
        <w:t xml:space="preserve"> 2009: </w:t>
      </w:r>
      <w:r w:rsidRPr="004C5AA9">
        <w:rPr>
          <w:rFonts w:asciiTheme="minorHAnsi" w:hAnsiTheme="minorHAnsi" w:cstheme="minorHAnsi"/>
          <w:i/>
          <w:iCs/>
          <w:sz w:val="22"/>
          <w:szCs w:val="22"/>
        </w:rPr>
        <w:t>Bayesian Analysis of Radiocarbon Dates</w:t>
      </w:r>
      <w:r w:rsidRPr="004C5AA9">
        <w:rPr>
          <w:rFonts w:asciiTheme="minorHAnsi" w:hAnsiTheme="minorHAnsi" w:cstheme="minorHAnsi"/>
          <w:sz w:val="22"/>
          <w:szCs w:val="22"/>
        </w:rPr>
        <w:t>, Radiocarbon Vol. 51, No. 1</w:t>
      </w:r>
      <w:r>
        <w:rPr>
          <w:rFonts w:asciiTheme="minorHAnsi" w:hAnsiTheme="minorHAnsi" w:cstheme="minorHAnsi"/>
          <w:sz w:val="22"/>
          <w:szCs w:val="22"/>
        </w:rPr>
        <w:t>, p. 337-360</w:t>
      </w:r>
      <w:r w:rsidR="001A01E7">
        <w:rPr>
          <w:rFonts w:asciiTheme="minorHAnsi" w:hAnsiTheme="minorHAnsi" w:cstheme="minorHAnsi"/>
          <w:sz w:val="22"/>
          <w:szCs w:val="22"/>
        </w:rPr>
        <w:br/>
      </w:r>
      <w:r w:rsidR="002B6482">
        <w:rPr>
          <w:rFonts w:asciiTheme="minorHAnsi" w:hAnsiTheme="minorHAnsi" w:cstheme="minorHAnsi"/>
          <w:sz w:val="22"/>
          <w:szCs w:val="22"/>
        </w:rPr>
        <w:br/>
      </w:r>
    </w:p>
    <w:sectPr w:rsidR="009B2031" w:rsidRPr="001A01E7">
      <w:pgSz w:w="12240" w:h="15840"/>
      <w:pgMar w:top="1417" w:right="1417" w:bottom="1417" w:left="1417"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34058" w:rsidRDefault="00D34058" w:rsidP="009B2031">
      <w:pPr>
        <w:spacing w:after="0" w:line="240" w:lineRule="auto"/>
      </w:pPr>
      <w:r>
        <w:separator/>
      </w:r>
    </w:p>
  </w:endnote>
  <w:endnote w:type="continuationSeparator" w:id="0">
    <w:p w:rsidR="00D34058" w:rsidRDefault="00D34058" w:rsidP="009B203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A0002AEF" w:usb1="4000207B" w:usb2="00000000" w:usb3="00000000" w:csb0="000001FF" w:csb1="00000000"/>
  </w:font>
  <w:font w:name="Times New Roman">
    <w:panose1 w:val="02020603050405020304"/>
    <w:charset w:val="00"/>
    <w:family w:val="roman"/>
    <w:pitch w:val="variable"/>
    <w:sig w:usb0="E0002AFF" w:usb1="C0007843"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34058" w:rsidRDefault="00D34058" w:rsidP="009B2031">
      <w:pPr>
        <w:spacing w:after="0" w:line="240" w:lineRule="auto"/>
      </w:pPr>
      <w:r>
        <w:separator/>
      </w:r>
    </w:p>
  </w:footnote>
  <w:footnote w:type="continuationSeparator" w:id="0">
    <w:p w:rsidR="00D34058" w:rsidRDefault="00D34058" w:rsidP="009B2031">
      <w:pPr>
        <w:spacing w:after="0" w:line="240" w:lineRule="auto"/>
      </w:pPr>
      <w:r>
        <w:continuationSeparator/>
      </w:r>
    </w:p>
  </w:footnote>
  <w:footnote w:id="1">
    <w:p w:rsidR="00FA0E28" w:rsidRPr="00FA0E28" w:rsidRDefault="00FA0E28">
      <w:pPr>
        <w:pStyle w:val="Voetnoottekst"/>
      </w:pPr>
      <w:r>
        <w:rPr>
          <w:rStyle w:val="Voetnootmarkering"/>
        </w:rPr>
        <w:footnoteRef/>
      </w:r>
      <w:r>
        <w:t xml:space="preserve"> </w:t>
      </w:r>
      <w:r w:rsidRPr="00015BDC">
        <w:rPr>
          <w:rFonts w:eastAsia="Times New Roman" w:cstheme="minorHAnsi"/>
          <w:lang w:eastAsia="en-GB"/>
        </w:rPr>
        <w:t xml:space="preserve">Bayes, T. &amp; R. Price, 1763: </w:t>
      </w:r>
      <w:r w:rsidRPr="00015BDC">
        <w:rPr>
          <w:rFonts w:eastAsia="Times New Roman" w:cstheme="minorHAnsi"/>
          <w:i/>
          <w:lang w:eastAsia="en-GB"/>
        </w:rPr>
        <w:t>An Essay towards Solving a Problem in the Doctrine of Chances</w:t>
      </w:r>
    </w:p>
  </w:footnote>
  <w:footnote w:id="2">
    <w:p w:rsidR="00015BDC" w:rsidRPr="00FA0E28" w:rsidRDefault="00015BDC" w:rsidP="00FA0E28">
      <w:pPr>
        <w:pStyle w:val="Voetnoottekst"/>
      </w:pPr>
      <w:r>
        <w:rPr>
          <w:rStyle w:val="Voetnootmarkering"/>
        </w:rPr>
        <w:footnoteRef/>
      </w:r>
      <w:r>
        <w:t xml:space="preserve"> Litto</w:t>
      </w:r>
      <w:r w:rsidR="00FA0E28">
        <w:t xml:space="preserve">n, C. D. &amp; C. E. Buck, 1995, p. </w:t>
      </w:r>
      <w:r>
        <w:t>12-13</w:t>
      </w:r>
    </w:p>
  </w:footnote>
  <w:footnote w:id="3">
    <w:p w:rsidR="00361A9D" w:rsidRPr="00FA0E28" w:rsidRDefault="00361A9D" w:rsidP="00FA0E28">
      <w:pPr>
        <w:pStyle w:val="Voetnoottekst"/>
      </w:pPr>
      <w:r>
        <w:rPr>
          <w:rStyle w:val="Voetnootmarkering"/>
        </w:rPr>
        <w:footnoteRef/>
      </w:r>
      <w:r w:rsidR="00FA0E28">
        <w:t xml:space="preserve"> Ramsey, C. B., 2009, p. 337 </w:t>
      </w:r>
    </w:p>
  </w:footnote>
  <w:footnote w:id="4">
    <w:p w:rsidR="00FA0E28" w:rsidRPr="00FA0E28" w:rsidRDefault="00870D77" w:rsidP="00FA0E28">
      <w:pPr>
        <w:pStyle w:val="Voetnoottekst"/>
      </w:pPr>
      <w:r>
        <w:rPr>
          <w:rStyle w:val="Voetnootmarkering"/>
        </w:rPr>
        <w:footnoteRef/>
      </w:r>
      <w:r>
        <w:t xml:space="preserve"> </w:t>
      </w:r>
      <w:r w:rsidR="00FA0E28">
        <w:t>Litton, C. D. &amp; C. E. Buck, 1995, p. 4</w:t>
      </w:r>
    </w:p>
  </w:footnote>
  <w:footnote w:id="5">
    <w:p w:rsidR="006F2A78" w:rsidRPr="006F2A78" w:rsidRDefault="006F2A78">
      <w:pPr>
        <w:pStyle w:val="Voetnoottekst"/>
        <w:rPr>
          <w:lang w:val="nl-NL"/>
        </w:rPr>
      </w:pPr>
      <w:r>
        <w:rPr>
          <w:rStyle w:val="Voetnootmarkering"/>
        </w:rPr>
        <w:footnoteRef/>
      </w:r>
      <w:r>
        <w:t xml:space="preserve"> </w:t>
      </w:r>
      <w:r>
        <w:t>Litton, C. D. &amp; C. E. Buck, 1995</w:t>
      </w:r>
      <w:r>
        <w:t>, p. 3-5</w:t>
      </w:r>
    </w:p>
  </w:footnote>
  <w:footnote w:id="6">
    <w:p w:rsidR="00005DE5" w:rsidRPr="00005DE5" w:rsidRDefault="00005DE5">
      <w:pPr>
        <w:pStyle w:val="Voetnoottekst"/>
        <w:rPr>
          <w:lang w:val="nl-NL"/>
        </w:rPr>
      </w:pPr>
      <w:r>
        <w:rPr>
          <w:rStyle w:val="Voetnootmarkering"/>
        </w:rPr>
        <w:footnoteRef/>
      </w:r>
      <w:r w:rsidRPr="00005DE5">
        <w:rPr>
          <w:lang w:val="nl-NL"/>
        </w:rPr>
        <w:t xml:space="preserve"> Bayliss, A., C. B. Ramsey, </w:t>
      </w:r>
      <w:r>
        <w:rPr>
          <w:lang w:val="nl-NL"/>
        </w:rPr>
        <w:t>J. van der Plicht &amp;</w:t>
      </w:r>
      <w:r w:rsidRPr="00005DE5">
        <w:rPr>
          <w:lang w:val="nl-NL"/>
        </w:rPr>
        <w:t xml:space="preserve"> </w:t>
      </w:r>
      <w:r>
        <w:rPr>
          <w:lang w:val="nl-NL"/>
        </w:rPr>
        <w:t>A. Whittle, 2007, p. 21-22</w:t>
      </w:r>
    </w:p>
  </w:footnote>
  <w:footnote w:id="7">
    <w:p w:rsidR="004B2253" w:rsidRPr="004B2253" w:rsidRDefault="004B2253">
      <w:pPr>
        <w:pStyle w:val="Voetnoottekst"/>
        <w:rPr>
          <w:lang w:val="nl-NL"/>
        </w:rPr>
      </w:pPr>
      <w:r>
        <w:rPr>
          <w:rStyle w:val="Voetnootmarkering"/>
        </w:rPr>
        <w:footnoteRef/>
      </w:r>
      <w:r w:rsidRPr="000A5D55">
        <w:rPr>
          <w:lang w:val="nl-NL"/>
        </w:rPr>
        <w:t xml:space="preserve"> </w:t>
      </w:r>
      <w:r w:rsidR="000A5D55" w:rsidRPr="00005DE5">
        <w:rPr>
          <w:lang w:val="nl-NL"/>
        </w:rPr>
        <w:t xml:space="preserve">Bayliss, A., C. B. Ramsey, </w:t>
      </w:r>
      <w:r w:rsidR="000A5D55">
        <w:rPr>
          <w:lang w:val="nl-NL"/>
        </w:rPr>
        <w:t>J. van der Plicht &amp;</w:t>
      </w:r>
      <w:r w:rsidR="000A5D55" w:rsidRPr="00005DE5">
        <w:rPr>
          <w:lang w:val="nl-NL"/>
        </w:rPr>
        <w:t xml:space="preserve"> </w:t>
      </w:r>
      <w:r w:rsidR="000A5D55">
        <w:rPr>
          <w:lang w:val="nl-NL"/>
        </w:rPr>
        <w:t>A. Whittle, 2007</w:t>
      </w:r>
      <w:r w:rsidR="000A5D55">
        <w:rPr>
          <w:lang w:val="nl-NL"/>
        </w:rPr>
        <w:t>, p. 19-20</w:t>
      </w:r>
    </w:p>
  </w:footnote>
  <w:footnote w:id="8">
    <w:p w:rsidR="004B2253" w:rsidRPr="004B2253" w:rsidRDefault="004B2253">
      <w:pPr>
        <w:pStyle w:val="Voetnoottekst"/>
        <w:rPr>
          <w:lang w:val="nl-NL"/>
        </w:rPr>
      </w:pPr>
      <w:r>
        <w:rPr>
          <w:rStyle w:val="Voetnootmarkering"/>
        </w:rPr>
        <w:footnoteRef/>
      </w:r>
      <w:r w:rsidRPr="000A5D55">
        <w:rPr>
          <w:lang w:val="nl-NL"/>
        </w:rPr>
        <w:t xml:space="preserve"> </w:t>
      </w:r>
      <w:r w:rsidR="000A5D55" w:rsidRPr="00005DE5">
        <w:rPr>
          <w:lang w:val="nl-NL"/>
        </w:rPr>
        <w:t xml:space="preserve">Bayliss, A., C. B. Ramsey, </w:t>
      </w:r>
      <w:r w:rsidR="000A5D55">
        <w:rPr>
          <w:lang w:val="nl-NL"/>
        </w:rPr>
        <w:t>J. van der Plicht &amp;</w:t>
      </w:r>
      <w:r w:rsidR="000A5D55" w:rsidRPr="00005DE5">
        <w:rPr>
          <w:lang w:val="nl-NL"/>
        </w:rPr>
        <w:t xml:space="preserve"> </w:t>
      </w:r>
      <w:r w:rsidR="000A5D55">
        <w:rPr>
          <w:lang w:val="nl-NL"/>
        </w:rPr>
        <w:t>A. Whittle, 2007</w:t>
      </w:r>
      <w:r w:rsidR="000A5D55">
        <w:rPr>
          <w:lang w:val="nl-NL"/>
        </w:rPr>
        <w:t>, p. p. 20-21</w:t>
      </w:r>
    </w:p>
  </w:footnote>
  <w:footnote w:id="9">
    <w:p w:rsidR="000A5D55" w:rsidRPr="000A5D55" w:rsidRDefault="000A5D55">
      <w:pPr>
        <w:pStyle w:val="Voetnoottekst"/>
        <w:rPr>
          <w:lang w:val="nl-NL"/>
        </w:rPr>
      </w:pPr>
      <w:r>
        <w:rPr>
          <w:rStyle w:val="Voetnootmarkering"/>
        </w:rPr>
        <w:footnoteRef/>
      </w:r>
      <w:r w:rsidRPr="000A5D55">
        <w:rPr>
          <w:lang w:val="nl-NL"/>
        </w:rPr>
        <w:t xml:space="preserve"> </w:t>
      </w:r>
      <w:r w:rsidRPr="00005DE5">
        <w:rPr>
          <w:lang w:val="nl-NL"/>
        </w:rPr>
        <w:t xml:space="preserve">Bayliss, A., C. B. Ramsey, </w:t>
      </w:r>
      <w:r>
        <w:rPr>
          <w:lang w:val="nl-NL"/>
        </w:rPr>
        <w:t>J. van der Plicht &amp;</w:t>
      </w:r>
      <w:r w:rsidRPr="00005DE5">
        <w:rPr>
          <w:lang w:val="nl-NL"/>
        </w:rPr>
        <w:t xml:space="preserve"> </w:t>
      </w:r>
      <w:r>
        <w:rPr>
          <w:lang w:val="nl-NL"/>
        </w:rPr>
        <w:t>A. Whittle, 2007</w:t>
      </w:r>
      <w:r>
        <w:rPr>
          <w:lang w:val="nl-NL"/>
        </w:rPr>
        <w:t>, p. 21</w:t>
      </w:r>
    </w:p>
  </w:footnote>
  <w:footnote w:id="10">
    <w:p w:rsidR="00864146" w:rsidRPr="00A16A16" w:rsidRDefault="00864146">
      <w:pPr>
        <w:pStyle w:val="Voetnoottekst"/>
      </w:pPr>
      <w:r>
        <w:rPr>
          <w:rStyle w:val="Voetnootmarkering"/>
        </w:rPr>
        <w:footnoteRef/>
      </w:r>
      <w:r>
        <w:t xml:space="preserve"> </w:t>
      </w:r>
      <w:r w:rsidRPr="00A16A16">
        <w:t>Bayliss, A., 2015</w:t>
      </w:r>
      <w:r w:rsidR="00A16A16">
        <w:t>:</w:t>
      </w:r>
      <w:r w:rsidR="00A16A16" w:rsidRPr="00A16A16">
        <w:t xml:space="preserve"> </w:t>
      </w:r>
      <w:r w:rsidR="00A16A16" w:rsidRPr="00A16A16">
        <w:rPr>
          <w:i/>
        </w:rPr>
        <w:t>Quality in Bayesian chronological models in archaeology</w:t>
      </w:r>
      <w:r w:rsidR="00A16A16">
        <w:t>, World Archaeology, p. 677-700</w:t>
      </w:r>
    </w:p>
  </w:footnote>
  <w:footnote w:id="11">
    <w:p w:rsidR="00A16A16" w:rsidRPr="00A16A16" w:rsidRDefault="00A16A16">
      <w:pPr>
        <w:pStyle w:val="Voetnoottekst"/>
      </w:pPr>
      <w:r>
        <w:rPr>
          <w:rStyle w:val="Voetnootmarkering"/>
        </w:rPr>
        <w:footnoteRef/>
      </w:r>
      <w:r>
        <w:t xml:space="preserve"> Bayliss, A., 2015, p. 683</w:t>
      </w:r>
    </w:p>
  </w:footnote>
  <w:footnote w:id="12">
    <w:p w:rsidR="00A16A16" w:rsidRPr="00A16A16" w:rsidRDefault="00A16A16">
      <w:pPr>
        <w:pStyle w:val="Voetnoottekst"/>
      </w:pPr>
      <w:r>
        <w:rPr>
          <w:rStyle w:val="Voetnootmarkering"/>
        </w:rPr>
        <w:footnoteRef/>
      </w:r>
      <w:r>
        <w:t xml:space="preserve"> </w:t>
      </w:r>
      <w:r>
        <w:t>Bayliss, A., 2015, p. 688</w:t>
      </w:r>
    </w:p>
  </w:footnote>
  <w:footnote w:id="13">
    <w:p w:rsidR="000F4BA1" w:rsidRPr="000F4BA1" w:rsidRDefault="000F4BA1">
      <w:pPr>
        <w:pStyle w:val="Voetnoottekst"/>
      </w:pPr>
      <w:r>
        <w:rPr>
          <w:rStyle w:val="Voetnootmarkering"/>
        </w:rPr>
        <w:footnoteRef/>
      </w:r>
      <w:r>
        <w:t xml:space="preserve"> </w:t>
      </w:r>
      <w:r w:rsidRPr="000F4BA1">
        <w:rPr>
          <w:rFonts w:cstheme="minorHAnsi"/>
        </w:rPr>
        <w:t xml:space="preserve">Darvill T., P. Marshall, M. P. Pearson, G. Wainwright, 2012: </w:t>
      </w:r>
      <w:r w:rsidRPr="000F4BA1">
        <w:rPr>
          <w:rFonts w:cstheme="minorHAnsi"/>
          <w:i/>
          <w:iCs/>
        </w:rPr>
        <w:t>Stonehenge Remodelled</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3056"/>
    <w:rsid w:val="00005DE5"/>
    <w:rsid w:val="00015BDC"/>
    <w:rsid w:val="00034ECB"/>
    <w:rsid w:val="000561DF"/>
    <w:rsid w:val="00095866"/>
    <w:rsid w:val="000A5D55"/>
    <w:rsid w:val="000F4BA1"/>
    <w:rsid w:val="00113056"/>
    <w:rsid w:val="001813BD"/>
    <w:rsid w:val="001A01E7"/>
    <w:rsid w:val="002B6482"/>
    <w:rsid w:val="002E4E8C"/>
    <w:rsid w:val="00361A9D"/>
    <w:rsid w:val="00466342"/>
    <w:rsid w:val="00481C2C"/>
    <w:rsid w:val="004B2253"/>
    <w:rsid w:val="004C5AA9"/>
    <w:rsid w:val="005C5847"/>
    <w:rsid w:val="005F04C0"/>
    <w:rsid w:val="006F2A78"/>
    <w:rsid w:val="00714144"/>
    <w:rsid w:val="00832B60"/>
    <w:rsid w:val="00864146"/>
    <w:rsid w:val="00870D77"/>
    <w:rsid w:val="009B2031"/>
    <w:rsid w:val="00A16A16"/>
    <w:rsid w:val="00A40319"/>
    <w:rsid w:val="00A733CF"/>
    <w:rsid w:val="00A90AA3"/>
    <w:rsid w:val="00AC6419"/>
    <w:rsid w:val="00B57FB8"/>
    <w:rsid w:val="00C06773"/>
    <w:rsid w:val="00CD2EF7"/>
    <w:rsid w:val="00D34058"/>
    <w:rsid w:val="00DD5E43"/>
    <w:rsid w:val="00DE4DBF"/>
    <w:rsid w:val="00E27BEB"/>
    <w:rsid w:val="00EB5D20"/>
    <w:rsid w:val="00F057BF"/>
    <w:rsid w:val="00FA0E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D2CF3E"/>
  <w15:chartTrackingRefBased/>
  <w15:docId w15:val="{83F8C0C0-58C9-4B87-9715-4B64693382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ard">
    <w:name w:val="Normal"/>
    <w:qFormat/>
    <w:rPr>
      <w:lang w:val="en-GB"/>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Voetnoottekst">
    <w:name w:val="footnote text"/>
    <w:basedOn w:val="Standaard"/>
    <w:link w:val="VoetnoottekstChar"/>
    <w:uiPriority w:val="99"/>
    <w:semiHidden/>
    <w:unhideWhenUsed/>
    <w:rsid w:val="009B2031"/>
    <w:pPr>
      <w:spacing w:after="0" w:line="240" w:lineRule="auto"/>
    </w:pPr>
    <w:rPr>
      <w:sz w:val="20"/>
      <w:szCs w:val="20"/>
    </w:rPr>
  </w:style>
  <w:style w:type="character" w:customStyle="1" w:styleId="VoetnoottekstChar">
    <w:name w:val="Voetnoottekst Char"/>
    <w:basedOn w:val="Standaardalinea-lettertype"/>
    <w:link w:val="Voetnoottekst"/>
    <w:uiPriority w:val="99"/>
    <w:semiHidden/>
    <w:rsid w:val="009B2031"/>
    <w:rPr>
      <w:sz w:val="20"/>
      <w:szCs w:val="20"/>
      <w:lang w:val="en-GB"/>
    </w:rPr>
  </w:style>
  <w:style w:type="character" w:styleId="Voetnootmarkering">
    <w:name w:val="footnote reference"/>
    <w:basedOn w:val="Standaardalinea-lettertype"/>
    <w:uiPriority w:val="99"/>
    <w:semiHidden/>
    <w:unhideWhenUsed/>
    <w:rsid w:val="009B2031"/>
    <w:rPr>
      <w:vertAlign w:val="superscript"/>
    </w:rPr>
  </w:style>
  <w:style w:type="paragraph" w:styleId="Eindnoottekst">
    <w:name w:val="endnote text"/>
    <w:basedOn w:val="Standaard"/>
    <w:link w:val="EindnoottekstChar"/>
    <w:uiPriority w:val="99"/>
    <w:semiHidden/>
    <w:unhideWhenUsed/>
    <w:rsid w:val="00015BDC"/>
    <w:pPr>
      <w:spacing w:after="0" w:line="240" w:lineRule="auto"/>
    </w:pPr>
    <w:rPr>
      <w:sz w:val="20"/>
      <w:szCs w:val="20"/>
    </w:rPr>
  </w:style>
  <w:style w:type="character" w:customStyle="1" w:styleId="EindnoottekstChar">
    <w:name w:val="Eindnoottekst Char"/>
    <w:basedOn w:val="Standaardalinea-lettertype"/>
    <w:link w:val="Eindnoottekst"/>
    <w:uiPriority w:val="99"/>
    <w:semiHidden/>
    <w:rsid w:val="00015BDC"/>
    <w:rPr>
      <w:sz w:val="20"/>
      <w:szCs w:val="20"/>
      <w:lang w:val="en-GB"/>
    </w:rPr>
  </w:style>
  <w:style w:type="character" w:styleId="Eindnootmarkering">
    <w:name w:val="endnote reference"/>
    <w:basedOn w:val="Standaardalinea-lettertype"/>
    <w:uiPriority w:val="99"/>
    <w:semiHidden/>
    <w:unhideWhenUsed/>
    <w:rsid w:val="00015BDC"/>
    <w:rPr>
      <w:vertAlign w:val="superscript"/>
    </w:rPr>
  </w:style>
  <w:style w:type="character" w:styleId="Tekstvantijdelijkeaanduiding">
    <w:name w:val="Placeholder Text"/>
    <w:basedOn w:val="Standaardalinea-lettertype"/>
    <w:uiPriority w:val="99"/>
    <w:semiHidden/>
    <w:rsid w:val="00870D77"/>
    <w:rPr>
      <w:color w:val="808080"/>
    </w:rPr>
  </w:style>
  <w:style w:type="paragraph" w:styleId="Normaalweb">
    <w:name w:val="Normal (Web)"/>
    <w:basedOn w:val="Standaard"/>
    <w:uiPriority w:val="99"/>
    <w:unhideWhenUsed/>
    <w:rsid w:val="004C5AA9"/>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95713449">
      <w:bodyDiv w:val="1"/>
      <w:marLeft w:val="0"/>
      <w:marRight w:val="0"/>
      <w:marTop w:val="0"/>
      <w:marBottom w:val="0"/>
      <w:divBdr>
        <w:top w:val="none" w:sz="0" w:space="0" w:color="auto"/>
        <w:left w:val="none" w:sz="0" w:space="0" w:color="auto"/>
        <w:bottom w:val="none" w:sz="0" w:space="0" w:color="auto"/>
        <w:right w:val="none" w:sz="0" w:space="0" w:color="auto"/>
      </w:divBdr>
    </w:div>
    <w:div w:id="744448436">
      <w:bodyDiv w:val="1"/>
      <w:marLeft w:val="0"/>
      <w:marRight w:val="0"/>
      <w:marTop w:val="0"/>
      <w:marBottom w:val="0"/>
      <w:divBdr>
        <w:top w:val="none" w:sz="0" w:space="0" w:color="auto"/>
        <w:left w:val="none" w:sz="0" w:space="0" w:color="auto"/>
        <w:bottom w:val="none" w:sz="0" w:space="0" w:color="auto"/>
        <w:right w:val="none" w:sz="0" w:space="0" w:color="auto"/>
      </w:divBdr>
      <w:divsChild>
        <w:div w:id="1370646663">
          <w:marLeft w:val="0"/>
          <w:marRight w:val="0"/>
          <w:marTop w:val="0"/>
          <w:marBottom w:val="0"/>
          <w:divBdr>
            <w:top w:val="none" w:sz="0" w:space="0" w:color="auto"/>
            <w:left w:val="none" w:sz="0" w:space="0" w:color="auto"/>
            <w:bottom w:val="none" w:sz="0" w:space="0" w:color="auto"/>
            <w:right w:val="none" w:sz="0" w:space="0" w:color="auto"/>
          </w:divBdr>
        </w:div>
      </w:divsChild>
    </w:div>
    <w:div w:id="1432236607">
      <w:bodyDiv w:val="1"/>
      <w:marLeft w:val="0"/>
      <w:marRight w:val="0"/>
      <w:marTop w:val="0"/>
      <w:marBottom w:val="0"/>
      <w:divBdr>
        <w:top w:val="none" w:sz="0" w:space="0" w:color="auto"/>
        <w:left w:val="none" w:sz="0" w:space="0" w:color="auto"/>
        <w:bottom w:val="none" w:sz="0" w:space="0" w:color="auto"/>
        <w:right w:val="none" w:sz="0" w:space="0" w:color="auto"/>
      </w:divBdr>
      <w:divsChild>
        <w:div w:id="1673988955">
          <w:marLeft w:val="0"/>
          <w:marRight w:val="0"/>
          <w:marTop w:val="0"/>
          <w:marBottom w:val="0"/>
          <w:divBdr>
            <w:top w:val="none" w:sz="0" w:space="0" w:color="auto"/>
            <w:left w:val="none" w:sz="0" w:space="0" w:color="auto"/>
            <w:bottom w:val="none" w:sz="0" w:space="0" w:color="auto"/>
            <w:right w:val="none" w:sz="0" w:space="0" w:color="auto"/>
          </w:divBdr>
        </w:div>
        <w:div w:id="543906922">
          <w:marLeft w:val="0"/>
          <w:marRight w:val="0"/>
          <w:marTop w:val="0"/>
          <w:marBottom w:val="0"/>
          <w:divBdr>
            <w:top w:val="none" w:sz="0" w:space="0" w:color="auto"/>
            <w:left w:val="none" w:sz="0" w:space="0" w:color="auto"/>
            <w:bottom w:val="none" w:sz="0" w:space="0" w:color="auto"/>
            <w:right w:val="none" w:sz="0" w:space="0" w:color="auto"/>
          </w:divBdr>
        </w:div>
        <w:div w:id="1656102619">
          <w:marLeft w:val="0"/>
          <w:marRight w:val="0"/>
          <w:marTop w:val="0"/>
          <w:marBottom w:val="0"/>
          <w:divBdr>
            <w:top w:val="none" w:sz="0" w:space="0" w:color="auto"/>
            <w:left w:val="none" w:sz="0" w:space="0" w:color="auto"/>
            <w:bottom w:val="none" w:sz="0" w:space="0" w:color="auto"/>
            <w:right w:val="none" w:sz="0" w:space="0" w:color="auto"/>
          </w:divBdr>
        </w:div>
        <w:div w:id="936790355">
          <w:marLeft w:val="0"/>
          <w:marRight w:val="0"/>
          <w:marTop w:val="0"/>
          <w:marBottom w:val="0"/>
          <w:divBdr>
            <w:top w:val="none" w:sz="0" w:space="0" w:color="auto"/>
            <w:left w:val="none" w:sz="0" w:space="0" w:color="auto"/>
            <w:bottom w:val="none" w:sz="0" w:space="0" w:color="auto"/>
            <w:right w:val="none" w:sz="0" w:space="0" w:color="auto"/>
          </w:divBdr>
        </w:div>
        <w:div w:id="562176578">
          <w:marLeft w:val="0"/>
          <w:marRight w:val="0"/>
          <w:marTop w:val="0"/>
          <w:marBottom w:val="0"/>
          <w:divBdr>
            <w:top w:val="none" w:sz="0" w:space="0" w:color="auto"/>
            <w:left w:val="none" w:sz="0" w:space="0" w:color="auto"/>
            <w:bottom w:val="none" w:sz="0" w:space="0" w:color="auto"/>
            <w:right w:val="none" w:sz="0" w:space="0" w:color="auto"/>
          </w:divBdr>
        </w:div>
      </w:divsChild>
    </w:div>
    <w:div w:id="1602642588">
      <w:bodyDiv w:val="1"/>
      <w:marLeft w:val="0"/>
      <w:marRight w:val="0"/>
      <w:marTop w:val="0"/>
      <w:marBottom w:val="0"/>
      <w:divBdr>
        <w:top w:val="none" w:sz="0" w:space="0" w:color="auto"/>
        <w:left w:val="none" w:sz="0" w:space="0" w:color="auto"/>
        <w:bottom w:val="none" w:sz="0" w:space="0" w:color="auto"/>
        <w:right w:val="none" w:sz="0" w:space="0" w:color="auto"/>
      </w:divBdr>
      <w:divsChild>
        <w:div w:id="29537591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A7BB00B-A846-442D-ABF5-4BF2D07625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288</TotalTime>
  <Pages>4</Pages>
  <Words>1413</Words>
  <Characters>8056</Characters>
  <Application>Microsoft Office Word</Application>
  <DocSecurity>0</DocSecurity>
  <Lines>67</Lines>
  <Paragraphs>18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9451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Stijn Marsman</dc:creator>
  <cp:keywords/>
  <dc:description/>
  <cp:lastModifiedBy>Stijn Marsman</cp:lastModifiedBy>
  <cp:revision>12</cp:revision>
  <dcterms:created xsi:type="dcterms:W3CDTF">2018-09-14T10:20:00Z</dcterms:created>
  <dcterms:modified xsi:type="dcterms:W3CDTF">2018-09-14T15:56:00Z</dcterms:modified>
</cp:coreProperties>
</file>