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widowControl w:val="0"/>
        <w:pBdr>
          <w:top w:space="0" w:sz="0" w:val="nil"/>
          <w:left w:space="0" w:sz="0" w:val="nil"/>
          <w:bottom w:space="0" w:sz="0" w:val="nil"/>
          <w:right w:space="0" w:sz="0" w:val="nil"/>
          <w:between w:space="0" w:sz="0" w:val="nil"/>
        </w:pBdr>
        <w:spacing w:line="276" w:lineRule="auto"/>
        <w:jc w:val="both"/>
        <w:rPr>
          <w:rFonts w:ascii="Cambria" w:cs="Cambria" w:eastAsia="Cambria" w:hAnsi="Cambria"/>
          <w:color w:val="000000"/>
          <w:sz w:val="19"/>
          <w:szCs w:val="19"/>
        </w:rPr>
      </w:pPr>
      <w:bookmarkStart w:colFirst="0" w:colLast="0" w:name="_gjdgxs" w:id="0"/>
      <w:bookmarkEnd w:id="0"/>
      <w:r w:rsidDel="00000000" w:rsidR="00000000" w:rsidRPr="00000000">
        <w:rPr>
          <w:rtl w:val="0"/>
        </w:rPr>
      </w:r>
    </w:p>
    <w:tbl>
      <w:tblPr>
        <w:tblStyle w:val="Table1"/>
        <w:tblW w:w="7778.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990"/>
        <w:gridCol w:w="6788"/>
        <w:tblGridChange w:id="0">
          <w:tblGrid>
            <w:gridCol w:w="990"/>
            <w:gridCol w:w="6788"/>
          </w:tblGrid>
        </w:tblGridChange>
      </w:tblGrid>
      <w:tr>
        <w:trPr>
          <w:cantSplit w:val="0"/>
          <w:trHeight w:val="42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bottom"/>
          </w:tcPr>
          <w:p w:rsidR="00000000" w:rsidDel="00000000" w:rsidP="00000000" w:rsidRDefault="00000000" w:rsidRPr="00000000" w14:paraId="00000002">
            <w:pPr>
              <w:pageBreakBefore w:val="0"/>
              <w:jc w:val="both"/>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bottom"/>
          </w:tcPr>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tabs>
                <w:tab w:val="left" w:leader="none" w:pos="397"/>
                <w:tab w:val="left" w:leader="none" w:pos="794"/>
                <w:tab w:val="center" w:leader="none" w:pos="2018"/>
                <w:tab w:val="left" w:leader="none" w:pos="2448"/>
              </w:tabs>
              <w:jc w:val="both"/>
              <w:rPr>
                <w:rFonts w:ascii="Cambria" w:cs="Cambria" w:eastAsia="Cambria" w:hAnsi="Cambria"/>
                <w:sz w:val="19"/>
                <w:szCs w:val="19"/>
              </w:rPr>
            </w:pPr>
            <w:r w:rsidDel="00000000" w:rsidR="00000000" w:rsidRPr="00000000">
              <w:rPr>
                <w:rFonts w:ascii="Cambria" w:cs="Cambria" w:eastAsia="Cambria" w:hAnsi="Cambria"/>
                <w:b w:val="1"/>
                <w:sz w:val="36"/>
                <w:szCs w:val="36"/>
                <w:rtl w:val="0"/>
              </w:rPr>
              <w:t xml:space="preserve">Brief aangaande de Deutsche Bank</w:t>
            </w:r>
            <w:r w:rsidDel="00000000" w:rsidR="00000000" w:rsidRPr="00000000">
              <w:rPr>
                <w:rtl w:val="0"/>
              </w:rPr>
            </w:r>
          </w:p>
        </w:tc>
      </w:tr>
    </w:tbl>
    <w:p w:rsidR="00000000" w:rsidDel="00000000" w:rsidP="00000000" w:rsidRDefault="00000000" w:rsidRPr="00000000" w14:paraId="00000004">
      <w:pPr>
        <w:pageBreakBefore w:val="0"/>
        <w:widowControl w:val="0"/>
        <w:pBdr>
          <w:top w:space="0" w:sz="0" w:val="nil"/>
          <w:left w:space="0" w:sz="0" w:val="nil"/>
          <w:bottom w:space="0" w:sz="0" w:val="nil"/>
          <w:right w:space="0" w:sz="0" w:val="nil"/>
          <w:between w:space="0" w:sz="0" w:val="nil"/>
        </w:pBdr>
        <w:ind w:left="108" w:hanging="108"/>
        <w:jc w:val="both"/>
        <w:rPr>
          <w:rFonts w:ascii="Cambria" w:cs="Cambria" w:eastAsia="Cambria" w:hAnsi="Cambria"/>
          <w:sz w:val="19"/>
          <w:szCs w:val="19"/>
        </w:rPr>
      </w:pPr>
      <w:r w:rsidDel="00000000" w:rsidR="00000000" w:rsidRPr="00000000">
        <w:rPr>
          <w:rtl w:val="0"/>
        </w:rPr>
      </w:r>
    </w:p>
    <w:p w:rsidR="00000000" w:rsidDel="00000000" w:rsidP="00000000" w:rsidRDefault="00000000" w:rsidRPr="00000000" w14:paraId="00000005">
      <w:pPr>
        <w:pageBreakBefore w:val="0"/>
        <w:widowControl w:val="0"/>
        <w:pBdr>
          <w:top w:space="0" w:sz="0" w:val="nil"/>
          <w:left w:space="0" w:sz="0" w:val="nil"/>
          <w:bottom w:space="0" w:sz="0" w:val="nil"/>
          <w:right w:space="0" w:sz="0" w:val="nil"/>
          <w:between w:space="0" w:sz="0" w:val="nil"/>
        </w:pBdr>
        <w:jc w:val="both"/>
        <w:rPr>
          <w:rFonts w:ascii="Cambria" w:cs="Cambria" w:eastAsia="Cambria" w:hAnsi="Cambria"/>
          <w:sz w:val="19"/>
          <w:szCs w:val="19"/>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pacing w:after="180" w:line="300" w:lineRule="auto"/>
        <w:ind w:firstLine="397"/>
        <w:jc w:val="both"/>
        <w:rPr>
          <w:sz w:val="22"/>
          <w:szCs w:val="22"/>
        </w:rPr>
      </w:pPr>
      <w:r w:rsidDel="00000000" w:rsidR="00000000" w:rsidRPr="00000000">
        <w:rPr>
          <w:sz w:val="22"/>
          <w:szCs w:val="22"/>
          <w:rtl w:val="0"/>
        </w:rPr>
        <w:t xml:space="preserve">Geacht College van Bestuur,</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pacing w:after="180" w:line="276" w:lineRule="auto"/>
        <w:jc w:val="both"/>
        <w:rPr>
          <w:sz w:val="22"/>
          <w:szCs w:val="22"/>
        </w:rPr>
      </w:pPr>
      <w:r w:rsidDel="00000000" w:rsidR="00000000" w:rsidRPr="00000000">
        <w:rPr>
          <w:sz w:val="22"/>
          <w:szCs w:val="22"/>
          <w:rtl w:val="0"/>
        </w:rPr>
        <w:t xml:space="preserve">De Centrale studentenraad (hierna: CSR) en de Facultaire Studentenraden </w:t>
      </w:r>
      <w:r w:rsidDel="00000000" w:rsidR="00000000" w:rsidRPr="00000000">
        <w:rPr>
          <w:i w:val="1"/>
          <w:sz w:val="22"/>
          <w:szCs w:val="22"/>
          <w:rtl w:val="0"/>
        </w:rPr>
        <w:t xml:space="preserve">(wordt nader gespecificeerd welke raden dit ondertekenen)</w:t>
      </w:r>
      <w:r w:rsidDel="00000000" w:rsidR="00000000" w:rsidRPr="00000000">
        <w:rPr>
          <w:sz w:val="22"/>
          <w:szCs w:val="22"/>
          <w:rtl w:val="0"/>
        </w:rPr>
        <w:t xml:space="preserve"> doen u bij deze een ongevraagd advies toekomen omtrent de hoofdbank  van de Universiteit van Amsterdam (hierna: UvA), namelijk Deutsche Bank. Gezien de reputatie van Deutsche Bank op gebieden als duurzaamheid en mensenrechten willen de medezeggenschapsraden (hierna: de medezeggenschap)  in deze brief pleiten voor het opnemen van duurzaamheid in het Treasury Statuut en het starten van een onderzoek naar het overstappen naar een duurzame(re) bank.</w:t>
      </w:r>
    </w:p>
    <w:p w:rsidR="00000000" w:rsidDel="00000000" w:rsidP="00000000" w:rsidRDefault="00000000" w:rsidRPr="00000000" w14:paraId="00000008">
      <w:pPr>
        <w:pageBreakBefore w:val="0"/>
        <w:spacing w:after="180" w:line="300" w:lineRule="auto"/>
        <w:ind w:firstLine="397"/>
        <w:jc w:val="both"/>
        <w:rPr>
          <w:sz w:val="22"/>
          <w:szCs w:val="22"/>
        </w:rPr>
      </w:pPr>
      <w:r w:rsidDel="00000000" w:rsidR="00000000" w:rsidRPr="00000000">
        <w:rPr>
          <w:sz w:val="22"/>
          <w:szCs w:val="22"/>
          <w:rtl w:val="0"/>
        </w:rPr>
        <w:t xml:space="preserve">De UvA  heeft in de ogen van de medezeggenschap een maatschappelijke taak als het gaat om financiële transparantie en dat de hoofdbank op een duurzaam bankiert. Hoewel het niet aan de UvA is om beleid van een ontransparante bank als Deutsche Bank te wijzigen, of om te bepalen welke investeringen Deutsche Bank doet, kan de UvA waarden als transparantie en duurzaamheid wel waar maken door over te stappen naar een bank deze waarden deelt en uitdraagt. De UvA heeft een grote financiële portefeuille en is heeft daarmee indirect invloed op het investeringsbeleid van Deutsche Bank. De website van de UvA vermeldt dat duurzaamheid een “prominente plaats” inneemt aan de universiteit, maar duurzaam bankieren wordt daarbij niet genoemd</w:t>
      </w:r>
      <w:r w:rsidDel="00000000" w:rsidR="00000000" w:rsidRPr="00000000">
        <w:rPr>
          <w:sz w:val="22"/>
          <w:szCs w:val="22"/>
          <w:vertAlign w:val="superscript"/>
        </w:rPr>
        <w:footnoteReference w:customMarkFollows="0" w:id="0"/>
      </w:r>
      <w:r w:rsidDel="00000000" w:rsidR="00000000" w:rsidRPr="00000000">
        <w:rPr>
          <w:sz w:val="22"/>
          <w:szCs w:val="22"/>
          <w:rtl w:val="0"/>
        </w:rPr>
        <w:t xml:space="preserve">.</w:t>
      </w:r>
    </w:p>
    <w:p w:rsidR="00000000" w:rsidDel="00000000" w:rsidP="00000000" w:rsidRDefault="00000000" w:rsidRPr="00000000" w14:paraId="00000009">
      <w:pPr>
        <w:pageBreakBefore w:val="0"/>
        <w:spacing w:after="180" w:line="300" w:lineRule="auto"/>
        <w:ind w:firstLine="397"/>
        <w:jc w:val="both"/>
        <w:rPr>
          <w:sz w:val="22"/>
          <w:szCs w:val="22"/>
        </w:rPr>
      </w:pPr>
      <w:r w:rsidDel="00000000" w:rsidR="00000000" w:rsidRPr="00000000">
        <w:rPr>
          <w:sz w:val="22"/>
          <w:szCs w:val="22"/>
          <w:rtl w:val="0"/>
        </w:rPr>
        <w:t xml:space="preserve">De Deutsche Bank is omstreden vanwege het grote aandeel dat de bank had in de financiële crisis van 2007. Onder meer door misleiding bij verkoop van hypotheken, de zogeheten ‘rommel-hypotheken’, maar de bank is ook (mede-)verantwoordelijk voor het manipuleren van de Libor-rente, en het manipuleren van de goud- en zilverprijs en witwaspraktijken, waarvoor Deutsche inmiddels een enorme hoeveelheid boetes heeft verzameld</w:t>
      </w:r>
      <w:r w:rsidDel="00000000" w:rsidR="00000000" w:rsidRPr="00000000">
        <w:rPr>
          <w:sz w:val="22"/>
          <w:szCs w:val="22"/>
          <w:vertAlign w:val="superscript"/>
        </w:rPr>
        <w:footnoteReference w:customMarkFollows="0" w:id="1"/>
      </w:r>
      <w:r w:rsidDel="00000000" w:rsidR="00000000" w:rsidRPr="00000000">
        <w:rPr>
          <w:rtl w:val="0"/>
        </w:rPr>
        <w:t xml:space="preserve">.</w:t>
      </w:r>
      <w:r w:rsidDel="00000000" w:rsidR="00000000" w:rsidRPr="00000000">
        <w:rPr>
          <w:sz w:val="22"/>
          <w:szCs w:val="22"/>
          <w:vertAlign w:val="superscript"/>
          <w:rtl w:val="0"/>
        </w:rPr>
        <w:t xml:space="preserve"> </w:t>
      </w:r>
      <w:r w:rsidDel="00000000" w:rsidR="00000000" w:rsidRPr="00000000">
        <w:rPr>
          <w:sz w:val="22"/>
          <w:szCs w:val="22"/>
          <w:rtl w:val="0"/>
        </w:rPr>
        <w:t xml:space="preserve">Ook op het gebied van duurzaamheid laat de bank te wensen over: </w:t>
      </w:r>
      <w:r w:rsidDel="00000000" w:rsidR="00000000" w:rsidRPr="00000000">
        <w:rPr>
          <w:rtl w:val="0"/>
        </w:rPr>
        <w:t xml:space="preserve">o</w:t>
      </w:r>
      <w:r w:rsidDel="00000000" w:rsidR="00000000" w:rsidRPr="00000000">
        <w:rPr>
          <w:sz w:val="22"/>
          <w:szCs w:val="22"/>
          <w:rtl w:val="0"/>
        </w:rPr>
        <w:t xml:space="preserve">p de de website van de Bankwijzer, het instituut dat onderzoek doet naar duurzame investeringen in de bankensector, scoort Deutsche Bank bijzonder laag. De bank investeert onder meer in fossiele energie en in winning van metalen die slecht zijn voor het milieu en in wapens</w:t>
      </w:r>
      <w:r w:rsidDel="00000000" w:rsidR="00000000" w:rsidRPr="00000000">
        <w:rPr>
          <w:sz w:val="22"/>
          <w:szCs w:val="22"/>
          <w:vertAlign w:val="superscript"/>
        </w:rPr>
        <w:footnoteReference w:customMarkFollows="0" w:id="2"/>
      </w:r>
      <w:r w:rsidDel="00000000" w:rsidR="00000000" w:rsidRPr="00000000">
        <w:rPr>
          <w:rtl w:val="0"/>
        </w:rPr>
        <w:t xml:space="preserve">.</w:t>
      </w:r>
      <w:r w:rsidDel="00000000" w:rsidR="00000000" w:rsidRPr="00000000">
        <w:rPr>
          <w:sz w:val="22"/>
          <w:szCs w:val="22"/>
          <w:rtl w:val="0"/>
        </w:rPr>
        <w:t xml:space="preserve"> De medezeggenschap vindt het belangrijk dat de UvA ook zorg draagt voor mens en milieu en net zoveel belang hecht aan duurzaam bankieren als de universiteit dat doet aan onderwijs en onderzoek.</w:t>
      </w:r>
    </w:p>
    <w:p w:rsidR="00000000" w:rsidDel="00000000" w:rsidP="00000000" w:rsidRDefault="00000000" w:rsidRPr="00000000" w14:paraId="0000000A">
      <w:pPr>
        <w:pageBreakBefore w:val="0"/>
        <w:spacing w:after="180" w:line="300" w:lineRule="auto"/>
        <w:ind w:firstLine="397"/>
        <w:jc w:val="both"/>
        <w:rPr>
          <w:sz w:val="22"/>
          <w:szCs w:val="22"/>
        </w:rPr>
      </w:pPr>
      <w:r w:rsidDel="00000000" w:rsidR="00000000" w:rsidRPr="00000000">
        <w:rPr>
          <w:sz w:val="22"/>
          <w:szCs w:val="22"/>
          <w:rtl w:val="0"/>
        </w:rPr>
        <w:t xml:space="preserve">Daarom wil de medezeggenschap haar zorgen uiten over het gebrek aan transparantie en de omstreden investeringen in onder meer fossiele energie en wapens door Deutsche Bank. Als de UvA duurzaamheid werkelijk belangrijk vindt, dat moet het CvB hier gevolg aan geven door de mogelijkheid te onderzoeken of er een overstap kan worden gemaakt naar een bank die investeert in hernieuwbare energie, wapens links laat liggen en transparant is.</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pacing w:after="180" w:line="300" w:lineRule="auto"/>
        <w:ind w:firstLine="397"/>
        <w:jc w:val="both"/>
        <w:rPr>
          <w:sz w:val="22"/>
          <w:szCs w:val="22"/>
        </w:rPr>
      </w:pPr>
      <w:r w:rsidDel="00000000" w:rsidR="00000000" w:rsidRPr="00000000">
        <w:rPr>
          <w:sz w:val="22"/>
          <w:szCs w:val="22"/>
          <w:rtl w:val="0"/>
        </w:rPr>
        <w:t xml:space="preserve">De medezeggenschap is zich bewust van het feit </w:t>
      </w:r>
      <w:r w:rsidDel="00000000" w:rsidR="00000000" w:rsidRPr="00000000">
        <w:rPr>
          <w:sz w:val="22"/>
          <w:szCs w:val="22"/>
          <w:highlight w:val="white"/>
          <w:rtl w:val="0"/>
        </w:rPr>
        <w:t xml:space="preserve">dat een overstap naar een andere hoofdbank is niet gemakkelijk is. Desalniettemin maakt de ernst van de situatie het wenselijk de volgende voorstellen, hetzij op termijn, over te nemen:</w:t>
      </w:r>
      <w:r w:rsidDel="00000000" w:rsidR="00000000" w:rsidRPr="00000000">
        <w:rPr>
          <w:rtl w:val="0"/>
        </w:rPr>
      </w:r>
    </w:p>
    <w:p w:rsidR="00000000" w:rsidDel="00000000" w:rsidP="00000000" w:rsidRDefault="00000000" w:rsidRPr="00000000" w14:paraId="0000000C">
      <w:pPr>
        <w:pageBreakBefore w:val="0"/>
        <w:numPr>
          <w:ilvl w:val="0"/>
          <w:numId w:val="1"/>
        </w:numPr>
        <w:pBdr>
          <w:top w:space="0" w:sz="0" w:val="nil"/>
          <w:left w:space="0" w:sz="0" w:val="nil"/>
          <w:bottom w:space="0" w:sz="0" w:val="nil"/>
          <w:right w:space="0" w:sz="0" w:val="nil"/>
          <w:between w:space="0" w:sz="0" w:val="nil"/>
        </w:pBdr>
        <w:spacing w:after="180" w:line="300" w:lineRule="auto"/>
        <w:ind w:left="250" w:firstLine="147.00000000000003"/>
        <w:jc w:val="both"/>
        <w:rPr>
          <w:sz w:val="22"/>
          <w:szCs w:val="22"/>
        </w:rPr>
      </w:pPr>
      <w:r w:rsidDel="00000000" w:rsidR="00000000" w:rsidRPr="00000000">
        <w:rPr>
          <w:sz w:val="22"/>
          <w:szCs w:val="22"/>
          <w:rtl w:val="0"/>
        </w:rPr>
        <w:t xml:space="preserve">De medezeggenschap stelt voor om het volgende op te nemen in het Treasury Statuut van de UvA, onder artikel 6 een nieuw lid </w:t>
      </w:r>
      <w:r w:rsidDel="00000000" w:rsidR="00000000" w:rsidRPr="00000000">
        <w:rPr>
          <w:sz w:val="22"/>
          <w:szCs w:val="22"/>
          <w:highlight w:val="white"/>
          <w:rtl w:val="0"/>
        </w:rPr>
        <w:t xml:space="preserve">om de maatschappelijke verantwoordelijk van de UvA te verankeren in het financiële beleid</w:t>
      </w:r>
      <w:r w:rsidDel="00000000" w:rsidR="00000000" w:rsidRPr="00000000">
        <w:rPr>
          <w:sz w:val="22"/>
          <w:szCs w:val="22"/>
          <w:rtl w:val="0"/>
        </w:rPr>
        <w:t xml:space="preserve">: d.“de universiteit dient haar financiën onder te brengen bij een bank die investeert in duurzame, sociaal verantwoordelijke middelen. Onder duurzame investeringen verstaan wij investeringen in groene energie, die de natuur ten goede komt, evenals mensenrechten, sociale rechtvaardigheid en diversiteit.”</w:t>
      </w:r>
    </w:p>
    <w:p w:rsidR="00000000" w:rsidDel="00000000" w:rsidP="00000000" w:rsidRDefault="00000000" w:rsidRPr="00000000" w14:paraId="0000000D">
      <w:pPr>
        <w:pageBreakBefore w:val="0"/>
        <w:numPr>
          <w:ilvl w:val="0"/>
          <w:numId w:val="1"/>
        </w:numPr>
        <w:spacing w:after="180" w:line="300" w:lineRule="auto"/>
        <w:ind w:left="250" w:firstLine="147.00000000000003"/>
        <w:jc w:val="both"/>
        <w:rPr>
          <w:sz w:val="22"/>
          <w:szCs w:val="22"/>
        </w:rPr>
      </w:pPr>
      <w:r w:rsidDel="00000000" w:rsidR="00000000" w:rsidRPr="00000000">
        <w:rPr>
          <w:sz w:val="22"/>
          <w:szCs w:val="22"/>
          <w:rtl w:val="0"/>
        </w:rPr>
        <w:t xml:space="preserve">De medezeggenschap wil graag een onderzoek naar de mogelijkheid om (ten dele) over te stappen naar een duurzame bank. De Volksbank scoort hoog volgens de meting van de Bankwijzer en zou volgens de medezeggenschap een goede optie kunnen zijn</w:t>
      </w:r>
      <w:r w:rsidDel="00000000" w:rsidR="00000000" w:rsidRPr="00000000">
        <w:rPr>
          <w:sz w:val="22"/>
          <w:szCs w:val="22"/>
          <w:vertAlign w:val="superscript"/>
        </w:rPr>
        <w:footnoteReference w:customMarkFollows="0" w:id="3"/>
      </w:r>
      <w:r w:rsidDel="00000000" w:rsidR="00000000" w:rsidRPr="00000000">
        <w:rPr>
          <w:sz w:val="22"/>
          <w:szCs w:val="22"/>
          <w:rtl w:val="0"/>
        </w:rPr>
        <w:t xml:space="preserve">. De medezeggenschap zou graag meer duidelijkheid willen krijgen over de bezwaren en obstakels die komen kijken bij een eventuele overstap. Wij zouden graag zien dat dit onderzoek in 2018 van start gaat, zodat een overstap - mocht dat nodig blijken - zo snel mogelijk kan geschieden. Dit onderzoek wordt bij voorkeur uitgevoerd door een externe partij, die gespecialiseerd is in financiële verduurzaming van grote bedrijven.</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pacing w:after="180" w:line="300" w:lineRule="auto"/>
        <w:jc w:val="both"/>
        <w:rPr>
          <w:sz w:val="22"/>
          <w:szCs w:val="22"/>
        </w:rPr>
      </w:pPr>
      <w:r w:rsidDel="00000000" w:rsidR="00000000" w:rsidRPr="00000000">
        <w:rPr>
          <w:sz w:val="22"/>
          <w:szCs w:val="22"/>
          <w:rtl w:val="0"/>
        </w:rPr>
        <w:t xml:space="preserve">De medezeggenschap treedt graag over de bovenstaande punten in gesprek. </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pacing w:after="180" w:line="300" w:lineRule="auto"/>
        <w:ind w:firstLine="397"/>
        <w:jc w:val="both"/>
        <w:rPr>
          <w:color w:val="000000"/>
          <w:sz w:val="22"/>
          <w:szCs w:val="22"/>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pacing w:after="180" w:line="300" w:lineRule="auto"/>
        <w:ind w:firstLine="397"/>
        <w:jc w:val="both"/>
        <w:rPr>
          <w:color w:val="000000"/>
          <w:sz w:val="22"/>
          <w:szCs w:val="22"/>
        </w:rPr>
      </w:pPr>
      <w:r w:rsidDel="00000000" w:rsidR="00000000" w:rsidRPr="00000000">
        <w:rPr>
          <w:color w:val="000000"/>
          <w:sz w:val="22"/>
          <w:szCs w:val="22"/>
          <w:rtl w:val="0"/>
        </w:rPr>
        <w:t xml:space="preserve">Met vriendelijke groet,</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pacing w:after="180" w:line="300" w:lineRule="auto"/>
        <w:ind w:firstLine="397"/>
        <w:jc w:val="both"/>
        <w:rPr>
          <w:color w:val="000000"/>
          <w:sz w:val="22"/>
          <w:szCs w:val="22"/>
        </w:rPr>
      </w:pPr>
      <w:bookmarkStart w:colFirst="0" w:colLast="0" w:name="_30j0zll" w:id="1"/>
      <w:bookmarkEnd w:id="1"/>
      <w:r w:rsidDel="00000000" w:rsidR="00000000" w:rsidRPr="00000000">
        <w:rPr>
          <w:rtl w:val="0"/>
        </w:rPr>
      </w:r>
    </w:p>
    <w:sectPr>
      <w:headerReference r:id="rId7" w:type="default"/>
      <w:headerReference r:id="rId8" w:type="first"/>
      <w:footerReference r:id="rId9" w:type="default"/>
      <w:footerReference r:id="rId10" w:type="first"/>
      <w:pgSz w:h="16840" w:w="11900" w:orient="portrait"/>
      <w:pgMar w:bottom="1701" w:top="2268" w:left="2268" w:right="1854"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tabs>
        <w:tab w:val="center" w:leader="none" w:pos="4320"/>
        <w:tab w:val="right" w:leader="none" w:pos="7758"/>
      </w:tabs>
      <w:spacing w:after="720" w:line="300" w:lineRule="auto"/>
      <w:ind w:firstLine="397"/>
      <w:jc w:val="right"/>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Pr>
      <w:drawing>
        <wp:inline distB="0" distT="0" distL="0" distR="0">
          <wp:extent cx="360680" cy="355600"/>
          <wp:effectExtent b="0" l="0" r="0" t="0"/>
          <wp:docPr descr="image06.png" id="6" name="image2.png"/>
          <a:graphic>
            <a:graphicData uri="http://schemas.openxmlformats.org/drawingml/2006/picture">
              <pic:pic>
                <pic:nvPicPr>
                  <pic:cNvPr descr="image06.png" id="0" name="image2.png"/>
                  <pic:cNvPicPr preferRelativeResize="0"/>
                </pic:nvPicPr>
                <pic:blipFill>
                  <a:blip r:embed="rId1"/>
                  <a:srcRect b="0" l="0" r="0" t="0"/>
                  <a:stretch>
                    <a:fillRect/>
                  </a:stretch>
                </pic:blipFill>
                <pic:spPr>
                  <a:xfrm>
                    <a:off x="0" y="0"/>
                    <a:ext cx="360680" cy="355600"/>
                  </a:xfrm>
                  <a:prstGeom prst="rect"/>
                  <a:ln/>
                </pic:spPr>
              </pic:pic>
            </a:graphicData>
          </a:graphic>
        </wp:inline>
      </w:drawing>
    </w:r>
    <w:r w:rsidDel="00000000" w:rsidR="00000000" w:rsidRPr="00000000">
      <w:rPr>
        <w:rFonts w:ascii="Cambria" w:cs="Cambria" w:eastAsia="Cambria" w:hAnsi="Cambria"/>
        <w:color w:val="000000"/>
        <w:sz w:val="19"/>
        <w:szCs w:val="19"/>
        <w:rtl w:val="0"/>
      </w:rPr>
      <w:t xml:space="preserve">Pagina </w:t>
    </w:r>
    <w:r w:rsidDel="00000000" w:rsidR="00000000" w:rsidRPr="00000000">
      <w:rPr>
        <w:rFonts w:ascii="Cambria" w:cs="Cambria" w:eastAsia="Cambria" w:hAnsi="Cambria"/>
        <w:color w:val="000000"/>
        <w:sz w:val="19"/>
        <w:szCs w:val="19"/>
      </w:rPr>
      <w:fldChar w:fldCharType="begin"/>
      <w:instrText xml:space="preserve">PAGE</w:instrText>
      <w:fldChar w:fldCharType="separate"/>
      <w:fldChar w:fldCharType="end"/>
    </w:r>
    <w:r w:rsidDel="00000000" w:rsidR="00000000" w:rsidRPr="00000000">
      <w:rPr>
        <w:rFonts w:ascii="Cambria" w:cs="Cambria" w:eastAsia="Cambria" w:hAnsi="Cambria"/>
        <w:color w:val="000000"/>
        <w:sz w:val="19"/>
        <w:szCs w:val="19"/>
        <w:rtl w:val="0"/>
      </w:rPr>
      <w:t xml:space="preserve">  </w:t>
    </w:r>
    <w:r w:rsidDel="00000000" w:rsidR="00000000" w:rsidRPr="00000000">
      <w:rPr>
        <w:rFonts w:ascii="Cambria" w:cs="Cambria" w:eastAsia="Cambria" w:hAnsi="Cambria"/>
        <w:color w:val="000000"/>
        <w:sz w:val="19"/>
        <w:szCs w:val="19"/>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tabs>
        <w:tab w:val="center" w:leader="none" w:pos="4320"/>
        <w:tab w:val="right" w:leader="none" w:pos="7758"/>
      </w:tabs>
      <w:spacing w:after="720" w:line="300" w:lineRule="auto"/>
      <w:ind w:firstLine="397"/>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Pr>
      <w:drawing>
        <wp:inline distB="0" distT="0" distL="0" distR="0">
          <wp:extent cx="2524125" cy="254000"/>
          <wp:effectExtent b="0" l="0" r="0" t="0"/>
          <wp:docPr descr="image07.png" id="7" name="image3.png"/>
          <a:graphic>
            <a:graphicData uri="http://schemas.openxmlformats.org/drawingml/2006/picture">
              <pic:pic>
                <pic:nvPicPr>
                  <pic:cNvPr descr="image07.png" id="0" name="image3.png"/>
                  <pic:cNvPicPr preferRelativeResize="0"/>
                </pic:nvPicPr>
                <pic:blipFill>
                  <a:blip r:embed="rId1"/>
                  <a:srcRect b="0" l="0" r="0" t="0"/>
                  <a:stretch>
                    <a:fillRect/>
                  </a:stretch>
                </pic:blipFill>
                <pic:spPr>
                  <a:xfrm>
                    <a:off x="0" y="0"/>
                    <a:ext cx="2524125" cy="254000"/>
                  </a:xfrm>
                  <a:prstGeom prst="rect"/>
                  <a:ln/>
                </pic:spPr>
              </pic:pic>
            </a:graphicData>
          </a:graphic>
        </wp:inline>
      </w:drawing>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12">
      <w:pPr>
        <w:pageBreakBefore w:val="0"/>
        <w:rPr>
          <w:rFonts w:ascii="Cambria" w:cs="Cambria" w:eastAsia="Cambria" w:hAnsi="Cambria"/>
          <w:sz w:val="16"/>
          <w:szCs w:val="16"/>
        </w:rPr>
      </w:pPr>
      <w:r w:rsidDel="00000000" w:rsidR="00000000" w:rsidRPr="00000000">
        <w:rPr>
          <w:rStyle w:val="FootnoteReference"/>
          <w:vertAlign w:val="superscript"/>
        </w:rPr>
        <w:footnoteRef/>
      </w:r>
      <w:r w:rsidDel="00000000" w:rsidR="00000000" w:rsidRPr="00000000">
        <w:rPr>
          <w:rFonts w:ascii="Cambria" w:cs="Cambria" w:eastAsia="Cambria" w:hAnsi="Cambria"/>
          <w:sz w:val="16"/>
          <w:szCs w:val="16"/>
          <w:rtl w:val="0"/>
        </w:rPr>
        <w:t xml:space="preserve"> http://www.uva.nl/over-de-uva/uva-profiel/identiteit/duurzaamheid/duurzaamheid.html</w:t>
      </w:r>
    </w:p>
  </w:footnote>
  <w:footnote w:id="1">
    <w:p w:rsidR="00000000" w:rsidDel="00000000" w:rsidP="00000000" w:rsidRDefault="00000000" w:rsidRPr="00000000" w14:paraId="00000013">
      <w:pPr>
        <w:pageBreakBefore w:val="0"/>
        <w:spacing w:after="180" w:line="300" w:lineRule="auto"/>
        <w:rPr>
          <w:rFonts w:ascii="Cambria" w:cs="Cambria" w:eastAsia="Cambria" w:hAnsi="Cambria"/>
          <w:sz w:val="16"/>
          <w:szCs w:val="16"/>
        </w:rPr>
      </w:pPr>
      <w:r w:rsidDel="00000000" w:rsidR="00000000" w:rsidRPr="00000000">
        <w:rPr>
          <w:rStyle w:val="FootnoteReference"/>
          <w:vertAlign w:val="superscript"/>
        </w:rPr>
        <w:footnoteRef/>
      </w:r>
      <w:r w:rsidDel="00000000" w:rsidR="00000000" w:rsidRPr="00000000">
        <w:rPr>
          <w:rFonts w:ascii="Cambria" w:cs="Cambria" w:eastAsia="Cambria" w:hAnsi="Cambria"/>
          <w:sz w:val="16"/>
          <w:szCs w:val="16"/>
          <w:rtl w:val="0"/>
        </w:rPr>
        <w:t xml:space="preserve"> Wilco Dekker, ‘Deutsche Bank weer beboet, nu om witwassen’ </w:t>
      </w:r>
      <w:r w:rsidDel="00000000" w:rsidR="00000000" w:rsidRPr="00000000">
        <w:rPr>
          <w:rFonts w:ascii="Cambria" w:cs="Cambria" w:eastAsia="Cambria" w:hAnsi="Cambria"/>
          <w:i w:val="1"/>
          <w:sz w:val="16"/>
          <w:szCs w:val="16"/>
          <w:rtl w:val="0"/>
        </w:rPr>
        <w:t xml:space="preserve">Volkskrant</w:t>
      </w:r>
      <w:r w:rsidDel="00000000" w:rsidR="00000000" w:rsidRPr="00000000">
        <w:rPr>
          <w:rFonts w:ascii="Cambria" w:cs="Cambria" w:eastAsia="Cambria" w:hAnsi="Cambria"/>
          <w:sz w:val="16"/>
          <w:szCs w:val="16"/>
          <w:rtl w:val="0"/>
        </w:rPr>
        <w:t xml:space="preserve"> (31-01-2017). </w:t>
      </w:r>
      <w:hyperlink r:id="rId1">
        <w:r w:rsidDel="00000000" w:rsidR="00000000" w:rsidRPr="00000000">
          <w:rPr>
            <w:rFonts w:ascii="Cambria" w:cs="Cambria" w:eastAsia="Cambria" w:hAnsi="Cambria"/>
            <w:sz w:val="16"/>
            <w:szCs w:val="16"/>
            <w:rtl w:val="0"/>
          </w:rPr>
          <w:t xml:space="preserve">https://www.volkskrant.nl/economie/deutsche-bank-weer-beboet-nu-om-witwassen~a4456122/</w:t>
        </w:r>
      </w:hyperlink>
      <w:r w:rsidDel="00000000" w:rsidR="00000000" w:rsidRPr="00000000">
        <w:rPr>
          <w:rtl w:val="0"/>
        </w:rPr>
      </w:r>
    </w:p>
  </w:footnote>
  <w:footnote w:id="2">
    <w:p w:rsidR="00000000" w:rsidDel="00000000" w:rsidP="00000000" w:rsidRDefault="00000000" w:rsidRPr="00000000" w14:paraId="00000014">
      <w:pPr>
        <w:pageBreakBefore w:val="0"/>
        <w:spacing w:after="180" w:line="300" w:lineRule="auto"/>
        <w:rPr>
          <w:rFonts w:ascii="Cambria" w:cs="Cambria" w:eastAsia="Cambria" w:hAnsi="Cambria"/>
          <w:sz w:val="16"/>
          <w:szCs w:val="16"/>
        </w:rPr>
      </w:pPr>
      <w:r w:rsidDel="00000000" w:rsidR="00000000" w:rsidRPr="00000000">
        <w:rPr>
          <w:rStyle w:val="FootnoteReference"/>
          <w:vertAlign w:val="superscript"/>
        </w:rPr>
        <w:footnoteRef/>
      </w:r>
      <w:r w:rsidDel="00000000" w:rsidR="00000000" w:rsidRPr="00000000">
        <w:rPr>
          <w:rFonts w:ascii="Cambria" w:cs="Cambria" w:eastAsia="Cambria" w:hAnsi="Cambria"/>
          <w:sz w:val="16"/>
          <w:szCs w:val="16"/>
          <w:rtl w:val="0"/>
        </w:rPr>
        <w:t xml:space="preserve"> https://bankwijzer.be/nl/bankwijzer/banken/deutsche-bank/</w:t>
      </w:r>
    </w:p>
  </w:footnote>
  <w:footnote w:id="3">
    <w:p w:rsidR="00000000" w:rsidDel="00000000" w:rsidP="00000000" w:rsidRDefault="00000000" w:rsidRPr="00000000" w14:paraId="00000015">
      <w:pPr>
        <w:pageBreakBefore w:val="0"/>
        <w:rPr>
          <w:rFonts w:ascii="Cambria" w:cs="Cambria" w:eastAsia="Cambria" w:hAnsi="Cambria"/>
          <w:sz w:val="16"/>
          <w:szCs w:val="16"/>
        </w:rPr>
      </w:pPr>
      <w:r w:rsidDel="00000000" w:rsidR="00000000" w:rsidRPr="00000000">
        <w:rPr>
          <w:rStyle w:val="FootnoteReference"/>
          <w:vertAlign w:val="superscript"/>
        </w:rPr>
        <w:footnoteRef/>
      </w:r>
      <w:r w:rsidDel="00000000" w:rsidR="00000000" w:rsidRPr="00000000">
        <w:rPr>
          <w:rFonts w:ascii="Cambria" w:cs="Cambria" w:eastAsia="Cambria" w:hAnsi="Cambria"/>
          <w:sz w:val="16"/>
          <w:szCs w:val="16"/>
          <w:rtl w:val="0"/>
        </w:rPr>
        <w:t xml:space="preserve"> https://eerlijkegeldwijzer.nl/bankwijzer/banken/sns/</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tabs>
        <w:tab w:val="left" w:leader="none" w:pos="6400"/>
      </w:tabs>
      <w:spacing w:before="720" w:lineRule="auto"/>
      <w:ind w:right="1701"/>
      <w:jc w:val="right"/>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Pr>
      <mc:AlternateContent>
        <mc:Choice Requires="wpg">
          <w:drawing>
            <wp:inline distB="0" distT="0" distL="0" distR="0">
              <wp:extent cx="6153150" cy="73052"/>
              <wp:effectExtent b="0" l="0" r="0" t="0"/>
              <wp:docPr descr="Rechthoek 6" id="2" name=""/>
              <a:graphic>
                <a:graphicData uri="http://schemas.microsoft.com/office/word/2010/wordprocessingShape">
                  <wps:wsp>
                    <wps:cNvSpPr/>
                    <wps:cNvPr id="3" name="Shape 3"/>
                    <wps:spPr>
                      <a:xfrm>
                        <a:off x="2278950" y="3752999"/>
                        <a:ext cx="6134100" cy="54002"/>
                      </a:xfrm>
                      <a:prstGeom prst="rect">
                        <a:avLst/>
                      </a:prstGeom>
                      <a:solidFill>
                        <a:srgbClr val="EE770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6153150" cy="73052"/>
              <wp:effectExtent b="0" l="0" r="0" t="0"/>
              <wp:docPr descr="Rechthoek 6" id="2" name="image6.png"/>
              <a:graphic>
                <a:graphicData uri="http://schemas.openxmlformats.org/drawingml/2006/picture">
                  <pic:pic>
                    <pic:nvPicPr>
                      <pic:cNvPr descr="Rechthoek 6" id="0" name="image6.png"/>
                      <pic:cNvPicPr preferRelativeResize="0"/>
                    </pic:nvPicPr>
                    <pic:blipFill>
                      <a:blip r:embed="rId1"/>
                      <a:srcRect/>
                      <a:stretch>
                        <a:fillRect/>
                      </a:stretch>
                    </pic:blipFill>
                    <pic:spPr>
                      <a:xfrm>
                        <a:off x="0" y="0"/>
                        <a:ext cx="6153150" cy="73052"/>
                      </a:xfrm>
                      <a:prstGeom prst="rect"/>
                      <a:ln/>
                    </pic:spPr>
                  </pic:pic>
                </a:graphicData>
              </a:graphic>
            </wp:inline>
          </w:drawing>
        </mc:Fallback>
      </mc:AlternateContent>
    </w:r>
    <w:r w:rsidDel="00000000" w:rsidR="00000000" w:rsidRPr="00000000">
      <w:rPr>
        <w:rFonts w:ascii="Cambria" w:cs="Cambria" w:eastAsia="Cambria" w:hAnsi="Cambria"/>
        <w:color w:val="000000"/>
        <w:sz w:val="14"/>
        <w:szCs w:val="14"/>
        <w:rtl w:val="0"/>
      </w:rPr>
      <w:tab/>
    </w:r>
    <w:r w:rsidDel="00000000" w:rsidR="00000000" w:rsidRPr="00000000">
      <w:rPr>
        <w:rFonts w:ascii="Cambria" w:cs="Cambria" w:eastAsia="Cambria" w:hAnsi="Cambria"/>
        <w:i w:val="1"/>
        <w:color w:val="000000"/>
        <w:sz w:val="14"/>
        <w:szCs w:val="14"/>
        <w:rtl w:val="0"/>
      </w:rPr>
      <w:t xml:space="preserve">Facultaire</w:t>
    </w:r>
    <w:r w:rsidDel="00000000" w:rsidR="00000000" w:rsidRPr="00000000">
      <w:rPr>
        <w:rFonts w:ascii="Cambria" w:cs="Cambria" w:eastAsia="Cambria" w:hAnsi="Cambria"/>
        <w:color w:val="000000"/>
        <w:sz w:val="14"/>
        <w:szCs w:val="14"/>
        <w:rtl w:val="0"/>
      </w:rPr>
      <w:t xml:space="preserve"> </w:t>
    </w:r>
    <w:r w:rsidDel="00000000" w:rsidR="00000000" w:rsidRPr="00000000">
      <w:rPr>
        <w:rFonts w:ascii="Cambria" w:cs="Cambria" w:eastAsia="Cambria" w:hAnsi="Cambria"/>
        <w:b w:val="1"/>
        <w:color w:val="000000"/>
        <w:sz w:val="14"/>
        <w:szCs w:val="14"/>
        <w:rtl w:val="0"/>
      </w:rPr>
      <w:t xml:space="preserve">Studentenraad</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4081779</wp:posOffset>
          </wp:positionH>
          <wp:positionV relativeFrom="paragraph">
            <wp:posOffset>191772</wp:posOffset>
          </wp:positionV>
          <wp:extent cx="703581" cy="734695"/>
          <wp:effectExtent b="0" l="0" r="0" t="0"/>
          <wp:wrapSquare wrapText="bothSides" distB="0" distT="0" distL="0" distR="0"/>
          <wp:docPr descr="image01.png" id="4" name="image1.png"/>
          <a:graphic>
            <a:graphicData uri="http://schemas.openxmlformats.org/drawingml/2006/picture">
              <pic:pic>
                <pic:nvPicPr>
                  <pic:cNvPr descr="image01.png" id="0" name="image1.png"/>
                  <pic:cNvPicPr preferRelativeResize="0"/>
                </pic:nvPicPr>
                <pic:blipFill>
                  <a:blip r:embed="rId2"/>
                  <a:srcRect b="0" l="0" r="0" t="0"/>
                  <a:stretch>
                    <a:fillRect/>
                  </a:stretch>
                </pic:blipFill>
                <pic:spPr>
                  <a:xfrm>
                    <a:off x="0" y="0"/>
                    <a:ext cx="703581" cy="734695"/>
                  </a:xfrm>
                  <a:prstGeom prst="rect"/>
                  <a:ln/>
                </pic:spPr>
              </pic:pic>
            </a:graphicData>
          </a:graphic>
        </wp:anchor>
      </w:drawing>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tabs>
        <w:tab w:val="center" w:leader="none" w:pos="4320"/>
        <w:tab w:val="right" w:leader="none" w:pos="7758"/>
      </w:tabs>
      <w:ind w:right="1701"/>
      <w:jc w:val="right"/>
      <w:rPr>
        <w:rFonts w:ascii="Cambria" w:cs="Cambria" w:eastAsia="Cambria" w:hAnsi="Cambria"/>
        <w:color w:val="000000"/>
        <w:sz w:val="19"/>
        <w:szCs w:val="19"/>
      </w:rPr>
    </w:pPr>
    <w:r w:rsidDel="00000000" w:rsidR="00000000" w:rsidRPr="00000000">
      <w:rPr>
        <w:rFonts w:ascii="Cambria" w:cs="Cambria" w:eastAsia="Cambria" w:hAnsi="Cambria"/>
        <w:color w:val="000000"/>
        <w:sz w:val="14"/>
        <w:szCs w:val="14"/>
        <w:rtl w:val="0"/>
      </w:rPr>
      <w:t xml:space="preserve">studentenraad.nl/fmg  </w:t>
    </w:r>
    <w:r w:rsidDel="00000000" w:rsidR="00000000" w:rsidRPr="00000000">
      <w:rPr>
        <w:rFonts w:ascii="Cambria" w:cs="Cambria" w:eastAsia="Cambria" w:hAnsi="Cambria"/>
        <w:b w:val="1"/>
        <w:color w:val="000000"/>
        <w:sz w:val="16"/>
        <w:szCs w:val="16"/>
        <w:rtl w:val="0"/>
      </w:rPr>
      <w:t xml:space="preserve">~ </w:t>
    </w:r>
    <w:r w:rsidDel="00000000" w:rsidR="00000000" w:rsidRPr="00000000">
      <w:rPr>
        <w:rFonts w:ascii="Cambria" w:cs="Cambria" w:eastAsia="Cambria" w:hAnsi="Cambria"/>
        <w:color w:val="000000"/>
        <w:sz w:val="14"/>
        <w:szCs w:val="14"/>
        <w:rtl w:val="0"/>
      </w:rPr>
      <w:t xml:space="preserve"> fmg@studentenraad.nl</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tabs>
        <w:tab w:val="center" w:leader="none" w:pos="4320"/>
        <w:tab w:val="right" w:leader="none" w:pos="7758"/>
      </w:tabs>
      <w:spacing w:before="720" w:lineRule="auto"/>
      <w:ind w:right="1701"/>
      <w:jc w:val="right"/>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Pr>
      <mc:AlternateContent>
        <mc:Choice Requires="wpg">
          <w:drawing>
            <wp:inline distB="0" distT="0" distL="0" distR="0">
              <wp:extent cx="1568450" cy="810900"/>
              <wp:effectExtent b="0" l="0" r="0" t="0"/>
              <wp:docPr descr="Rechthoek 5" id="1" name=""/>
              <a:graphic>
                <a:graphicData uri="http://schemas.microsoft.com/office/word/2010/wordprocessingShape">
                  <wps:wsp>
                    <wps:cNvSpPr/>
                    <wps:cNvPr id="2" name="Shape 2"/>
                    <wps:spPr>
                      <a:xfrm>
                        <a:off x="4571300" y="3384075"/>
                        <a:ext cx="1549400" cy="79185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Nieuwe Achtergracht 127</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 1018 WS Amsterdam</w:t>
                          </w:r>
                          <w:r w:rsidDel="00000000" w:rsidR="00000000" w:rsidRPr="00000000">
                            <w:rPr>
                              <w:rFonts w:ascii="Cambria" w:cs="Cambria" w:eastAsia="Cambria" w:hAnsi="Cambria"/>
                              <w:b w:val="0"/>
                              <w:i w:val="0"/>
                              <w:smallCaps w:val="0"/>
                              <w:strike w:val="0"/>
                              <w:color w:val="343434"/>
                              <w:sz w:val="14"/>
                              <w:vertAlign w:val="baseline"/>
                            </w:rPr>
                            <w:br w:type="textWrapping"/>
                          </w:r>
                          <w:r w:rsidDel="00000000" w:rsidR="00000000" w:rsidRPr="00000000">
                            <w:rPr>
                              <w:rFonts w:ascii="Cambria" w:cs="Cambria" w:eastAsia="Cambria" w:hAnsi="Cambria"/>
                              <w:b w:val="0"/>
                              <w:i w:val="0"/>
                              <w:smallCaps w:val="0"/>
                              <w:strike w:val="0"/>
                              <w:color w:val="343434"/>
                              <w:sz w:val="14"/>
                              <w:vertAlign w:val="baseline"/>
                            </w:rPr>
                            <w:t xml:space="preserve">		(020) 525 6347</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fmg@studentenraad.nl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studentenraad.nl/fmg</w:t>
                          </w:r>
                        </w:p>
                      </w:txbxContent>
                    </wps:txbx>
                    <wps:bodyPr anchorCtr="0" anchor="t" bIns="91400" lIns="91400" spcFirstLastPara="1" rIns="91400" wrap="square" tIns="91400">
                      <a:noAutofit/>
                    </wps:bodyPr>
                  </wps:wsp>
                </a:graphicData>
              </a:graphic>
            </wp:inline>
          </w:drawing>
        </mc:Choice>
        <mc:Fallback>
          <w:drawing>
            <wp:inline distB="0" distT="0" distL="0" distR="0">
              <wp:extent cx="1568450" cy="810900"/>
              <wp:effectExtent b="0" l="0" r="0" t="0"/>
              <wp:docPr descr="Rechthoek 5" id="1" name="image5.png"/>
              <a:graphic>
                <a:graphicData uri="http://schemas.openxmlformats.org/drawingml/2006/picture">
                  <pic:pic>
                    <pic:nvPicPr>
                      <pic:cNvPr descr="Rechthoek 5" id="0" name="image5.png"/>
                      <pic:cNvPicPr preferRelativeResize="0"/>
                    </pic:nvPicPr>
                    <pic:blipFill>
                      <a:blip r:embed="rId1"/>
                      <a:srcRect/>
                      <a:stretch>
                        <a:fillRect/>
                      </a:stretch>
                    </pic:blipFill>
                    <pic:spPr>
                      <a:xfrm>
                        <a:off x="0" y="0"/>
                        <a:ext cx="1568450" cy="810900"/>
                      </a:xfrm>
                      <a:prstGeom prst="rect"/>
                      <a:ln/>
                    </pic:spPr>
                  </pic:pic>
                </a:graphicData>
              </a:graphic>
            </wp:inline>
          </w:drawing>
        </mc:Fallback>
      </mc:AlternateContent>
    </w:r>
    <w:r w:rsidDel="00000000" w:rsidR="00000000" w:rsidRPr="00000000">
      <w:rPr>
        <w:rFonts w:ascii="Cambria" w:cs="Cambria" w:eastAsia="Cambria" w:hAnsi="Cambria"/>
        <w:color w:val="000000"/>
        <w:sz w:val="19"/>
        <w:szCs w:val="19"/>
      </w:rPr>
      <w:drawing>
        <wp:inline distB="0" distT="0" distL="0" distR="0">
          <wp:extent cx="3275330" cy="800735"/>
          <wp:effectExtent b="0" l="0" r="0" t="0"/>
          <wp:docPr descr="Macintosh HD:Users:Bas:Dropbox:Werk:Klanten:Studentenraad:SR Templates (Working):01 Algemene bestanden:01 Logos:Beeld- en tekstmerk (horizontaal):Beeld- en woordmerk (horizontaal)-08.png" id="5"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2"/>
                  <a:srcRect b="0" l="0" r="0" t="0"/>
                  <a:stretch>
                    <a:fillRect/>
                  </a:stretch>
                </pic:blipFill>
                <pic:spPr>
                  <a:xfrm>
                    <a:off x="0" y="0"/>
                    <a:ext cx="3275330" cy="800735"/>
                  </a:xfrm>
                  <a:prstGeom prst="rect"/>
                  <a:ln/>
                </pic:spPr>
              </pic:pic>
            </a:graphicData>
          </a:graphic>
        </wp:inline>
      </w:drawing>
    </w:r>
    <w:r w:rsidDel="00000000" w:rsidR="00000000" w:rsidRPr="00000000">
      <w:rPr>
        <w:rFonts w:ascii="Cambria" w:cs="Cambria" w:eastAsia="Cambria" w:hAnsi="Cambria"/>
        <w:color w:val="000000"/>
        <w:sz w:val="19"/>
        <w:szCs w:val="19"/>
      </w:rPr>
      <mc:AlternateContent>
        <mc:Choice Requires="wpg">
          <w:drawing>
            <wp:inline distB="0" distT="0" distL="0" distR="0">
              <wp:extent cx="5804564" cy="107950"/>
              <wp:effectExtent b="0" l="0" r="0" t="0"/>
              <wp:docPr descr="Rechthoek 7" id="3" name=""/>
              <a:graphic>
                <a:graphicData uri="http://schemas.microsoft.com/office/word/2010/wordprocessingShape">
                  <wps:wsp>
                    <wps:cNvSpPr/>
                    <wps:cNvPr id="4" name="Shape 4"/>
                    <wps:spPr>
                      <a:xfrm>
                        <a:off x="2453243" y="3735550"/>
                        <a:ext cx="5785514" cy="88900"/>
                      </a:xfrm>
                      <a:prstGeom prst="rect">
                        <a:avLst/>
                      </a:prstGeom>
                      <a:solidFill>
                        <a:srgbClr val="EE770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5804564" cy="107950"/>
              <wp:effectExtent b="0" l="0" r="0" t="0"/>
              <wp:docPr descr="Rechthoek 7" id="3" name="image7.png"/>
              <a:graphic>
                <a:graphicData uri="http://schemas.openxmlformats.org/drawingml/2006/picture">
                  <pic:pic>
                    <pic:nvPicPr>
                      <pic:cNvPr descr="Rechthoek 7" id="0" name="image7.png"/>
                      <pic:cNvPicPr preferRelativeResize="0"/>
                    </pic:nvPicPr>
                    <pic:blipFill>
                      <a:blip r:embed="rId1"/>
                      <a:srcRect/>
                      <a:stretch>
                        <a:fillRect/>
                      </a:stretch>
                    </pic:blipFill>
                    <pic:spPr>
                      <a:xfrm>
                        <a:off x="0" y="0"/>
                        <a:ext cx="5804564" cy="107950"/>
                      </a:xfrm>
                      <a:prstGeom prst="rect"/>
                      <a:ln/>
                    </pic:spPr>
                  </pic:pic>
                </a:graphicData>
              </a:graphic>
            </wp:inline>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50" w:firstLine="147"/>
      </w:pPr>
      <w:rPr>
        <w:smallCaps w:val="0"/>
        <w:strike w:val="0"/>
        <w:shd w:fill="auto" w:val="clear"/>
        <w:vertAlign w:val="baseline"/>
      </w:rPr>
    </w:lvl>
    <w:lvl w:ilvl="1">
      <w:start w:val="1"/>
      <w:numFmt w:val="decimal"/>
      <w:lvlText w:val="%2)"/>
      <w:lvlJc w:val="left"/>
      <w:pPr>
        <w:ind w:left="1276" w:firstLine="121"/>
      </w:pPr>
      <w:rPr>
        <w:smallCaps w:val="0"/>
        <w:strike w:val="0"/>
        <w:shd w:fill="auto" w:val="clear"/>
        <w:vertAlign w:val="baseline"/>
      </w:rPr>
    </w:lvl>
    <w:lvl w:ilvl="2">
      <w:start w:val="1"/>
      <w:numFmt w:val="decimal"/>
      <w:lvlText w:val="%3)"/>
      <w:lvlJc w:val="left"/>
      <w:pPr>
        <w:ind w:left="2276" w:firstLine="121"/>
      </w:pPr>
      <w:rPr>
        <w:smallCaps w:val="0"/>
        <w:strike w:val="0"/>
        <w:shd w:fill="auto" w:val="clear"/>
        <w:vertAlign w:val="baseline"/>
      </w:rPr>
    </w:lvl>
    <w:lvl w:ilvl="3">
      <w:start w:val="1"/>
      <w:numFmt w:val="decimal"/>
      <w:lvlText w:val="%4)"/>
      <w:lvlJc w:val="left"/>
      <w:pPr>
        <w:ind w:left="3276" w:firstLine="121.00000000000045"/>
      </w:pPr>
      <w:rPr>
        <w:smallCaps w:val="0"/>
        <w:strike w:val="0"/>
        <w:shd w:fill="auto" w:val="clear"/>
        <w:vertAlign w:val="baseline"/>
      </w:rPr>
    </w:lvl>
    <w:lvl w:ilvl="4">
      <w:start w:val="1"/>
      <w:numFmt w:val="decimal"/>
      <w:lvlText w:val="%5)"/>
      <w:lvlJc w:val="left"/>
      <w:pPr>
        <w:ind w:left="4276" w:firstLine="121"/>
      </w:pPr>
      <w:rPr>
        <w:smallCaps w:val="0"/>
        <w:strike w:val="0"/>
        <w:shd w:fill="auto" w:val="clear"/>
        <w:vertAlign w:val="baseline"/>
      </w:rPr>
    </w:lvl>
    <w:lvl w:ilvl="5">
      <w:start w:val="1"/>
      <w:numFmt w:val="decimal"/>
      <w:lvlText w:val="%6)"/>
      <w:lvlJc w:val="left"/>
      <w:pPr>
        <w:ind w:left="5276" w:firstLine="121"/>
      </w:pPr>
      <w:rPr>
        <w:smallCaps w:val="0"/>
        <w:strike w:val="0"/>
        <w:shd w:fill="auto" w:val="clear"/>
        <w:vertAlign w:val="baseline"/>
      </w:rPr>
    </w:lvl>
    <w:lvl w:ilvl="6">
      <w:start w:val="1"/>
      <w:numFmt w:val="decimal"/>
      <w:lvlText w:val="%7)"/>
      <w:lvlJc w:val="left"/>
      <w:pPr>
        <w:ind w:left="6276" w:firstLine="121"/>
      </w:pPr>
      <w:rPr>
        <w:smallCaps w:val="0"/>
        <w:strike w:val="0"/>
        <w:shd w:fill="auto" w:val="clear"/>
        <w:vertAlign w:val="baseline"/>
      </w:rPr>
    </w:lvl>
    <w:lvl w:ilvl="7">
      <w:start w:val="1"/>
      <w:numFmt w:val="decimal"/>
      <w:lvlText w:val="%8)"/>
      <w:lvlJc w:val="left"/>
      <w:pPr>
        <w:ind w:left="7276" w:firstLine="121"/>
      </w:pPr>
      <w:rPr>
        <w:smallCaps w:val="0"/>
        <w:strike w:val="0"/>
        <w:shd w:fill="auto" w:val="clear"/>
        <w:vertAlign w:val="baseline"/>
      </w:rPr>
    </w:lvl>
    <w:lvl w:ilvl="8">
      <w:start w:val="1"/>
      <w:numFmt w:val="decimal"/>
      <w:lvlText w:val="%9)"/>
      <w:lvlJc w:val="left"/>
      <w:pPr>
        <w:ind w:left="8276" w:firstLine="121"/>
      </w:pPr>
      <w:rPr>
        <w:smallCaps w:val="0"/>
        <w:strike w:val="0"/>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nl-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volkskrant.nl/economie/deutsche-bank-weer-beboet-nu-om-witwassen~a44561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