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ageBreakBefore w:val="0"/>
        <w:rPr/>
      </w:pPr>
      <w:r w:rsidDel="00000000" w:rsidR="00000000" w:rsidRPr="00000000">
        <w:rPr>
          <w:rtl w:val="0"/>
        </w:rPr>
        <w:t xml:space="preserve">Advice and proposal for changes in concept TER-B Master FNWI 2018-2019</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70c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Advice: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Opleidingscommissie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OC-AI/KI</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Date: </w:t>
      </w:r>
      <w:r w:rsidDel="00000000" w:rsidR="00000000" w:rsidRPr="00000000">
        <w:rPr>
          <w:rFonts w:ascii="Calibri" w:cs="Calibri" w:eastAsia="Calibri" w:hAnsi="Calibri"/>
          <w:b w:val="0"/>
          <w:i w:val="0"/>
          <w:smallCaps w:val="0"/>
          <w:strike w:val="0"/>
          <w:color w:val="0070c0"/>
          <w:sz w:val="22"/>
          <w:szCs w:val="22"/>
          <w:u w:val="none"/>
          <w:shd w:fill="auto" w:val="clear"/>
          <w:vertAlign w:val="baseline"/>
          <w:rtl w:val="0"/>
        </w:rPr>
        <w:t xml:space="preserve">20-4-2018</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4029.0" w:type="dxa"/>
        <w:jc w:val="left"/>
        <w:tblInd w:w="-115.0" w:type="dxa"/>
        <w:tblBorders>
          <w:top w:color="ffffff" w:space="0" w:sz="4" w:val="single"/>
          <w:left w:color="ffffff" w:space="0" w:sz="4" w:val="single"/>
          <w:bottom w:color="ffffff" w:space="0" w:sz="4" w:val="single"/>
          <w:right w:color="ffffff" w:space="0" w:sz="4" w:val="single"/>
          <w:insideH w:color="ffffff" w:space="0" w:sz="4" w:val="single"/>
          <w:insideV w:color="ffffff" w:space="0" w:sz="4" w:val="single"/>
        </w:tblBorders>
        <w:tblLayout w:type="fixed"/>
        <w:tblLook w:val="04A0"/>
      </w:tblPr>
      <w:tblGrid>
        <w:gridCol w:w="523"/>
        <w:gridCol w:w="1570"/>
        <w:gridCol w:w="4236"/>
        <w:gridCol w:w="5715"/>
        <w:gridCol w:w="1985"/>
        <w:tblGridChange w:id="0">
          <w:tblGrid>
            <w:gridCol w:w="523"/>
            <w:gridCol w:w="1570"/>
            <w:gridCol w:w="4236"/>
            <w:gridCol w:w="5715"/>
            <w:gridCol w:w="1985"/>
          </w:tblGrid>
        </w:tblGridChange>
      </w:tblGrid>
      <w:tr>
        <w:trPr>
          <w:cantSplit w:val="0"/>
          <w:tblHeader w:val="0"/>
        </w:trPr>
        <w:tc>
          <w:tcPr/>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Nr.</w:t>
            </w:r>
          </w:p>
        </w:tc>
        <w:tc>
          <w:tcPr/>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w:t>
            </w:r>
          </w:p>
        </w:tc>
        <w:tc>
          <w:tcPr/>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Content</w:t>
            </w:r>
          </w:p>
        </w:tc>
        <w:tc>
          <w:tcPr/>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Proposal</w:t>
            </w:r>
          </w:p>
        </w:tc>
        <w:tc>
          <w:tcPr/>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Type of change</w:t>
            </w:r>
          </w:p>
        </w:tc>
      </w:tr>
      <w:tr>
        <w:trPr>
          <w:cantSplit w:val="0"/>
          <w:tblHeader w:val="0"/>
        </w:trPr>
        <w:tc>
          <w:tcPr/>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w:t>
            </w:r>
          </w:p>
        </w:tc>
        <w:tc>
          <w:tcPr/>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3.1</w:t>
            </w:r>
            <w:r w:rsidDel="00000000" w:rsidR="00000000" w:rsidRPr="00000000">
              <w:rPr>
                <w:rtl w:val="0"/>
              </w:rPr>
            </w:r>
          </w:p>
        </w:tc>
        <w:tc>
          <w:tcPr/>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70c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70c0"/>
                <w:sz w:val="22"/>
                <w:szCs w:val="22"/>
                <w:u w:val="none"/>
                <w:shd w:fill="auto" w:val="clear"/>
                <w:vertAlign w:val="baseline"/>
                <w:rtl w:val="0"/>
              </w:rPr>
              <w:t xml:space="preserve">A Dutch or foreign qualification comparable to the one described in paragraph 3.1.1., complemented by a necessary basic knowledge of Computer Science, basic programming skills (at least 15EC), basic university level Calculus (at least 6 EC), basic university level Linear Algebra (at least 6 EC), basic university level Probability and Statistics (at least 6 EC) and a motivation which matches the content of the Master’s programme.</w:t>
            </w:r>
          </w:p>
        </w:tc>
        <w:tc>
          <w:tcPr/>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e75b5"/>
                <w:sz w:val="24"/>
                <w:szCs w:val="24"/>
                <w:u w:val="none"/>
                <w:shd w:fill="auto" w:val="clear"/>
                <w:vertAlign w:val="baseline"/>
                <w:rtl w:val="0"/>
              </w:rPr>
              <w:t xml:space="preserve">This section needs clarification: (1) what courses count towards the required ECs; for instance regarding programming can any course that involves programming count, or does the course need to be specific on programming. In principle we think that 15EC may be too much to ask for and 12 might be a more reasonable number. Also do self-taught courses e.g. MOOCs count, or not since they cannot be converted to ECs?</w:t>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Related to the content or textual?</w:t>
            </w:r>
            <w:r w:rsidDel="00000000" w:rsidR="00000000" w:rsidRPr="00000000">
              <w:rPr>
                <w:rtl w:val="0"/>
              </w:rPr>
            </w:r>
          </w:p>
        </w:tc>
      </w:tr>
      <w:tr>
        <w:trPr>
          <w:cantSplit w:val="0"/>
          <w:tblHeader w:val="0"/>
        </w:trPr>
        <w:tc>
          <w:tcPr/>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w:t>
            </w:r>
          </w:p>
        </w:tc>
        <w:tc>
          <w:tcPr/>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3.1</w:t>
            </w:r>
            <w:r w:rsidDel="00000000" w:rsidR="00000000" w:rsidRPr="00000000">
              <w:rPr>
                <w:rtl w:val="0"/>
              </w:rPr>
            </w:r>
          </w:p>
        </w:tc>
        <w:tc>
          <w:tcPr/>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70c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70c0"/>
                <w:sz w:val="22"/>
                <w:szCs w:val="22"/>
                <w:u w:val="none"/>
                <w:shd w:fill="auto" w:val="clear"/>
                <w:vertAlign w:val="baseline"/>
                <w:rtl w:val="0"/>
              </w:rPr>
              <w:t xml:space="preserve">A Dutch or foreign qualification comparable to the one described in paragraph 3.1.1., complemented by a necessary basic knowledge of Computer Science, basic programming skills (at least 15EC), basic university level Calculus (at least 6 EC), basic university level Linear Algebra (at least 6 EC), basic university level Probability and Statistics (at least 6 EC) and a motivation which matches the content of the Master’s programme.</w:t>
            </w:r>
          </w:p>
        </w:tc>
        <w:tc>
          <w:tcPr/>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No ECs are specified for Computer Science.</w:t>
            </w:r>
            <w:r w:rsidDel="00000000" w:rsidR="00000000" w:rsidRPr="00000000">
              <w:rPr>
                <w:rtl w:val="0"/>
              </w:rPr>
            </w:r>
          </w:p>
        </w:tc>
        <w:tc>
          <w:tcPr/>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Related to the content or textual?</w:t>
            </w:r>
            <w:r w:rsidDel="00000000" w:rsidR="00000000" w:rsidRPr="00000000">
              <w:rPr>
                <w:rtl w:val="0"/>
              </w:rPr>
            </w:r>
          </w:p>
        </w:tc>
      </w:tr>
      <w:tr>
        <w:trPr>
          <w:cantSplit w:val="0"/>
          <w:tblHeader w:val="0"/>
        </w:trPr>
        <w:tc>
          <w:tcPr/>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w:t>
            </w:r>
          </w:p>
        </w:tc>
        <w:tc>
          <w:tcPr/>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3.1</w:t>
            </w:r>
            <w:r w:rsidDel="00000000" w:rsidR="00000000" w:rsidRPr="00000000">
              <w:rPr>
                <w:rtl w:val="0"/>
              </w:rPr>
            </w:r>
          </w:p>
        </w:tc>
        <w:tc>
          <w:tcPr/>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70c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Geef hier de inhoud van het artikel waarover het gaat weer.</w:t>
            </w:r>
            <w:r w:rsidDel="00000000" w:rsidR="00000000" w:rsidRPr="00000000">
              <w:rPr>
                <w:rtl w:val="0"/>
              </w:rPr>
            </w:r>
          </w:p>
        </w:tc>
        <w:tc>
          <w:tcPr/>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The numbering is wrong</w:t>
            </w:r>
            <w:r w:rsidDel="00000000" w:rsidR="00000000" w:rsidRPr="00000000">
              <w:rPr>
                <w:rtl w:val="0"/>
              </w:rPr>
            </w:r>
          </w:p>
        </w:tc>
        <w:tc>
          <w:tcPr/>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Related to the content or textual?</w:t>
            </w:r>
            <w:r w:rsidDel="00000000" w:rsidR="00000000" w:rsidRPr="00000000">
              <w:rPr>
                <w:rtl w:val="0"/>
              </w:rPr>
            </w:r>
          </w:p>
        </w:tc>
      </w:tr>
      <w:tr>
        <w:trPr>
          <w:cantSplit w:val="0"/>
          <w:tblHeader w:val="0"/>
        </w:trPr>
        <w:tc>
          <w:tcPr/>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4</w:t>
            </w:r>
          </w:p>
        </w:tc>
        <w:tc>
          <w:tcPr/>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3.3.3.b</w:t>
            </w:r>
            <w:r w:rsidDel="00000000" w:rsidR="00000000" w:rsidRPr="00000000">
              <w:rPr>
                <w:rtl w:val="0"/>
              </w:rPr>
            </w:r>
          </w:p>
        </w:tc>
        <w:tc>
          <w:tcPr/>
          <w:p w:rsidR="00000000" w:rsidDel="00000000" w:rsidP="00000000" w:rsidRDefault="00000000" w:rsidRPr="00000000" w14:paraId="0000001D">
            <w:pPr>
              <w:pageBreakBefore w:val="0"/>
              <w:rPr/>
            </w:pPr>
            <w:r w:rsidDel="00000000" w:rsidR="00000000" w:rsidRPr="00000000">
              <w:rPr>
                <w:rFonts w:ascii="Calibri" w:cs="Calibri" w:eastAsia="Calibri" w:hAnsi="Calibri"/>
                <w:color w:val="0066ff"/>
                <w:rtl w:val="0"/>
              </w:rPr>
              <w:t xml:space="preserve">The student has obtained the Bachelor’s degree within at most 1 year more than the nominal duration of the programme.</w:t>
            </w:r>
            <w:r w:rsidDel="00000000" w:rsidR="00000000" w:rsidRPr="00000000">
              <w:rPr>
                <w:rtl w:val="0"/>
              </w:rPr>
            </w:r>
          </w:p>
        </w:tc>
        <w:tc>
          <w:tcPr/>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We think that this is too strict especially for students that delay their graduations due to extracurriculum activities. Further, the GPA is the one thing that reflects quality; whether you learn a subject in 3 years or 5 should not play a role.</w:t>
            </w:r>
            <w:r w:rsidDel="00000000" w:rsidR="00000000" w:rsidRPr="00000000">
              <w:rPr>
                <w:rtl w:val="0"/>
              </w:rPr>
            </w:r>
          </w:p>
        </w:tc>
        <w:tc>
          <w:tcPr/>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Related to the content or textual?</w:t>
            </w:r>
            <w:r w:rsidDel="00000000" w:rsidR="00000000" w:rsidRPr="00000000">
              <w:rPr>
                <w:rtl w:val="0"/>
              </w:rPr>
            </w:r>
          </w:p>
        </w:tc>
      </w:tr>
      <w:tr>
        <w:trPr>
          <w:cantSplit w:val="0"/>
          <w:tblHeader w:val="0"/>
        </w:trPr>
        <w:tc>
          <w:tcPr/>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5</w:t>
            </w:r>
          </w:p>
        </w:tc>
        <w:tc>
          <w:tcPr/>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3.3.4</w:t>
            </w:r>
            <w:r w:rsidDel="00000000" w:rsidR="00000000" w:rsidRPr="00000000">
              <w:rPr>
                <w:rtl w:val="0"/>
              </w:rPr>
            </w:r>
          </w:p>
        </w:tc>
        <w:tc>
          <w:tcPr/>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70c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70c0"/>
                <w:sz w:val="22"/>
                <w:szCs w:val="22"/>
                <w:u w:val="none"/>
                <w:shd w:fill="auto" w:val="clear"/>
                <w:vertAlign w:val="baseline"/>
                <w:rtl w:val="0"/>
              </w:rPr>
              <w:t xml:space="preserve">Selection will be based on the following ranking criteria: GPA score ; Duration of completing the Bachelor’s programme Publications Relevant AI projects (completed) Programming skills Knowledge of logic Motivation for contents Master’s programme Relevant AI courses at level of Master’s programme</w:t>
            </w:r>
          </w:p>
        </w:tc>
        <w:tc>
          <w:tcPr/>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Admission responses need tob e delivered within 6 weeks from the time of submission. Therefore we do not see how one can really produce a ranking of candidates or respond on time. This needs tob e clarified since one thing that we do not want to take place is any bias with respect tot he time of the application (e.g. the earlier you apply the more chances you have). </w:t>
            </w:r>
            <w:r w:rsidDel="00000000" w:rsidR="00000000" w:rsidRPr="00000000">
              <w:rPr>
                <w:rtl w:val="0"/>
              </w:rPr>
            </w:r>
          </w:p>
        </w:tc>
        <w:tc>
          <w:tcPr/>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Related to the content or textual?</w:t>
            </w:r>
            <w:r w:rsidDel="00000000" w:rsidR="00000000" w:rsidRPr="00000000">
              <w:rPr>
                <w:rtl w:val="0"/>
              </w:rPr>
            </w:r>
          </w:p>
        </w:tc>
      </w:tr>
      <w:tr>
        <w:trPr>
          <w:cantSplit w:val="0"/>
          <w:tblHeader w:val="0"/>
        </w:trPr>
        <w:tc>
          <w:tcPr/>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6</w:t>
            </w:r>
          </w:p>
        </w:tc>
        <w:tc>
          <w:tcPr/>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3.3</w:t>
            </w:r>
            <w:r w:rsidDel="00000000" w:rsidR="00000000" w:rsidRPr="00000000">
              <w:rPr>
                <w:rtl w:val="0"/>
              </w:rPr>
            </w:r>
          </w:p>
        </w:tc>
        <w:tc>
          <w:tcPr/>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70c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70c0"/>
                <w:sz w:val="22"/>
                <w:szCs w:val="22"/>
                <w:u w:val="none"/>
                <w:shd w:fill="auto" w:val="clear"/>
                <w:vertAlign w:val="baseline"/>
                <w:rtl w:val="0"/>
              </w:rPr>
              <w:t xml:space="preserve">Limited programme capacity</w:t>
            </w:r>
          </w:p>
        </w:tc>
        <w:tc>
          <w:tcPr/>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This section need to become more clear – to the extend of course that still allows for flexibility on decisions.</w:t>
            </w:r>
            <w:r w:rsidDel="00000000" w:rsidR="00000000" w:rsidRPr="00000000">
              <w:rPr>
                <w:rtl w:val="0"/>
              </w:rPr>
            </w:r>
          </w:p>
        </w:tc>
        <w:tc>
          <w:tcPr/>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Related to the content or textual?</w:t>
            </w:r>
            <w:r w:rsidDel="00000000" w:rsidR="00000000" w:rsidRPr="00000000">
              <w:rPr>
                <w:rtl w:val="0"/>
              </w:rPr>
            </w:r>
          </w:p>
        </w:tc>
      </w:tr>
      <w:tr>
        <w:trPr>
          <w:cantSplit w:val="0"/>
          <w:tblHeader w:val="0"/>
        </w:trPr>
        <w:tc>
          <w:tcPr/>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7</w:t>
            </w:r>
          </w:p>
        </w:tc>
        <w:tc>
          <w:tcPr/>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3.3.1</w:t>
            </w:r>
            <w:r w:rsidDel="00000000" w:rsidR="00000000" w:rsidRPr="00000000">
              <w:rPr>
                <w:rtl w:val="0"/>
              </w:rPr>
            </w:r>
          </w:p>
        </w:tc>
        <w:tc>
          <w:tcPr/>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70c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Geef hier de inhoud van het artikel waarover het gaat weer.</w:t>
            </w:r>
            <w:r w:rsidDel="00000000" w:rsidR="00000000" w:rsidRPr="00000000">
              <w:rPr>
                <w:rtl w:val="0"/>
              </w:rPr>
            </w:r>
          </w:p>
        </w:tc>
        <w:tc>
          <w:tcPr/>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The average GPA is mentioned multiple times, which is redundant.</w:t>
            </w:r>
            <w:r w:rsidDel="00000000" w:rsidR="00000000" w:rsidRPr="00000000">
              <w:rPr>
                <w:rtl w:val="0"/>
              </w:rPr>
            </w:r>
          </w:p>
        </w:tc>
        <w:tc>
          <w:tcPr/>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Related to the content or textual?</w:t>
            </w:r>
            <w:r w:rsidDel="00000000" w:rsidR="00000000" w:rsidRPr="00000000">
              <w:rPr>
                <w:rtl w:val="0"/>
              </w:rPr>
            </w:r>
          </w:p>
        </w:tc>
      </w:tr>
      <w:tr>
        <w:trPr>
          <w:cantSplit w:val="0"/>
          <w:tblHeader w:val="0"/>
        </w:trPr>
        <w:tc>
          <w:tcPr/>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8</w:t>
            </w:r>
          </w:p>
        </w:tc>
        <w:tc>
          <w:tcPr/>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4.2</w:t>
            </w:r>
            <w:r w:rsidDel="00000000" w:rsidR="00000000" w:rsidRPr="00000000">
              <w:rPr>
                <w:rtl w:val="0"/>
              </w:rPr>
            </w:r>
          </w:p>
        </w:tc>
        <w:tc>
          <w:tcPr/>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70c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70c0"/>
                <w:sz w:val="22"/>
                <w:szCs w:val="22"/>
                <w:u w:val="none"/>
                <w:shd w:fill="auto" w:val="clear"/>
                <w:vertAlign w:val="baseline"/>
                <w:rtl w:val="0"/>
              </w:rPr>
              <w:t xml:space="preserve">Table content</w:t>
            </w:r>
          </w:p>
        </w:tc>
        <w:tc>
          <w:tcPr/>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It is stated that ML2 and Computer Vision 2 will not be taught. However, the topic was discussed with the director of the program and it was decided, given that the announcement came too late, to still organize these courses.</w:t>
            </w:r>
            <w:r w:rsidDel="00000000" w:rsidR="00000000" w:rsidRPr="00000000">
              <w:rPr>
                <w:rtl w:val="0"/>
              </w:rPr>
            </w:r>
          </w:p>
        </w:tc>
        <w:tc>
          <w:tcPr/>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Related to the content or textual?</w:t>
            </w:r>
            <w:r w:rsidDel="00000000" w:rsidR="00000000" w:rsidRPr="00000000">
              <w:rPr>
                <w:rtl w:val="0"/>
              </w:rPr>
            </w:r>
          </w:p>
        </w:tc>
      </w:tr>
      <w:tr>
        <w:trPr>
          <w:cantSplit w:val="0"/>
          <w:tblHeader w:val="0"/>
        </w:trPr>
        <w:tc>
          <w:tcPr/>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9</w:t>
            </w:r>
          </w:p>
        </w:tc>
        <w:tc>
          <w:tcPr/>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Appendix 1</w:t>
            </w:r>
            <w:r w:rsidDel="00000000" w:rsidR="00000000" w:rsidRPr="00000000">
              <w:rPr>
                <w:rtl w:val="0"/>
              </w:rPr>
            </w:r>
          </w:p>
        </w:tc>
        <w:tc>
          <w:tcPr/>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70c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70c0"/>
                <w:sz w:val="22"/>
                <w:szCs w:val="22"/>
                <w:u w:val="none"/>
                <w:shd w:fill="auto" w:val="clear"/>
                <w:vertAlign w:val="baseline"/>
                <w:rtl w:val="0"/>
              </w:rPr>
              <w:t xml:space="preserve">Basic Probability: Theory</w:t>
            </w:r>
          </w:p>
        </w:tc>
        <w:tc>
          <w:tcPr/>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This is not the name we had agreed upon. </w:t>
            </w:r>
            <w:r w:rsidDel="00000000" w:rsidR="00000000" w:rsidRPr="00000000">
              <w:rPr>
                <w:rtl w:val="0"/>
              </w:rPr>
            </w:r>
          </w:p>
        </w:tc>
        <w:tc>
          <w:tcPr/>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Related to the content or textual?</w:t>
            </w:r>
            <w:r w:rsidDel="00000000" w:rsidR="00000000" w:rsidRPr="00000000">
              <w:rPr>
                <w:rtl w:val="0"/>
              </w:rPr>
            </w:r>
          </w:p>
        </w:tc>
      </w:tr>
      <w:tr>
        <w:trPr>
          <w:cantSplit w:val="0"/>
          <w:tblHeader w:val="0"/>
        </w:trPr>
        <w:tc>
          <w:tcPr/>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10</w:t>
            </w:r>
          </w:p>
        </w:tc>
        <w:tc>
          <w:tcPr/>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4.2</w:t>
            </w:r>
            <w:r w:rsidDel="00000000" w:rsidR="00000000" w:rsidRPr="00000000">
              <w:rPr>
                <w:rtl w:val="0"/>
              </w:rPr>
            </w:r>
          </w:p>
        </w:tc>
        <w:tc>
          <w:tcPr/>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70c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70c0"/>
                <w:sz w:val="22"/>
                <w:szCs w:val="22"/>
                <w:u w:val="none"/>
                <w:shd w:fill="auto" w:val="clear"/>
                <w:vertAlign w:val="baseline"/>
                <w:rtl w:val="0"/>
              </w:rPr>
              <w:t xml:space="preserve">Table content</w:t>
            </w:r>
          </w:p>
        </w:tc>
        <w:tc>
          <w:tcPr/>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Deep Learning for Natural Language Technology is missing from the table.</w:t>
            </w:r>
            <w:r w:rsidDel="00000000" w:rsidR="00000000" w:rsidRPr="00000000">
              <w:rPr>
                <w:rtl w:val="0"/>
              </w:rPr>
            </w:r>
          </w:p>
        </w:tc>
        <w:tc>
          <w:tcPr/>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Related to the content or textual?</w:t>
            </w:r>
            <w:r w:rsidDel="00000000" w:rsidR="00000000" w:rsidRPr="00000000">
              <w:rPr>
                <w:rtl w:val="0"/>
              </w:rPr>
            </w:r>
          </w:p>
        </w:tc>
      </w:tr>
      <w:tr>
        <w:trPr>
          <w:cantSplit w:val="0"/>
          <w:tblHeader w:val="0"/>
        </w:trPr>
        <w:tc>
          <w:tcPr/>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11</w:t>
            </w:r>
          </w:p>
        </w:tc>
        <w:tc>
          <w:tcPr/>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7.2</w:t>
            </w:r>
            <w:r w:rsidDel="00000000" w:rsidR="00000000" w:rsidRPr="00000000">
              <w:rPr>
                <w:rtl w:val="0"/>
              </w:rPr>
            </w:r>
          </w:p>
        </w:tc>
        <w:tc>
          <w:tcPr/>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70c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70c0"/>
                <w:sz w:val="22"/>
                <w:szCs w:val="22"/>
                <w:u w:val="none"/>
                <w:shd w:fill="auto" w:val="clear"/>
                <w:vertAlign w:val="baseline"/>
                <w:rtl w:val="0"/>
              </w:rPr>
              <w:t xml:space="preserve">Enter the content of the article at issue</w:t>
            </w:r>
          </w:p>
        </w:tc>
        <w:tc>
          <w:tcPr/>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The section 7.2 should mention that Computational Intelligence cannot be followed anymore. All other courses with new names should be mentioned there as well.</w:t>
            </w:r>
            <w:r w:rsidDel="00000000" w:rsidR="00000000" w:rsidRPr="00000000">
              <w:rPr>
                <w:rtl w:val="0"/>
              </w:rPr>
            </w:r>
          </w:p>
        </w:tc>
        <w:tc>
          <w:tcPr/>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Related to the content or textual?</w:t>
            </w:r>
            <w:r w:rsidDel="00000000" w:rsidR="00000000" w:rsidRPr="00000000">
              <w:rPr>
                <w:rtl w:val="0"/>
              </w:rPr>
            </w:r>
          </w:p>
        </w:tc>
      </w:tr>
      <w:tr>
        <w:trPr>
          <w:cantSplit w:val="0"/>
          <w:tblHeader w:val="0"/>
        </w:trPr>
        <w:tc>
          <w:tcPr/>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12</w:t>
            </w:r>
          </w:p>
        </w:tc>
        <w:tc>
          <w:tcPr/>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Appendix 1</w:t>
            </w:r>
            <w:r w:rsidDel="00000000" w:rsidR="00000000" w:rsidRPr="00000000">
              <w:rPr>
                <w:rtl w:val="0"/>
              </w:rPr>
            </w:r>
          </w:p>
        </w:tc>
        <w:tc>
          <w:tcPr/>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70c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70c0"/>
                <w:sz w:val="22"/>
                <w:szCs w:val="22"/>
                <w:u w:val="none"/>
                <w:shd w:fill="auto" w:val="clear"/>
                <w:vertAlign w:val="baseline"/>
                <w:rtl w:val="0"/>
              </w:rPr>
              <w:t xml:space="preserve">Enter the content of the article at issue</w:t>
            </w:r>
          </w:p>
        </w:tc>
        <w:tc>
          <w:tcPr/>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The assessment and teaching methods are specified in the OER. This reduces flexibility for teachers and seems something more appropriate for in a study guide. Is it possible?</w:t>
            </w:r>
            <w:r w:rsidDel="00000000" w:rsidR="00000000" w:rsidRPr="00000000">
              <w:rPr>
                <w:rtl w:val="0"/>
              </w:rPr>
            </w:r>
          </w:p>
        </w:tc>
        <w:tc>
          <w:tcPr/>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2e75b5"/>
                <w:sz w:val="22"/>
                <w:szCs w:val="22"/>
                <w:u w:val="none"/>
                <w:shd w:fill="auto" w:val="clear"/>
                <w:vertAlign w:val="baseline"/>
                <w:rtl w:val="0"/>
              </w:rPr>
              <w:t xml:space="preserve">Related to the content or textual?</w:t>
            </w:r>
            <w:r w:rsidDel="00000000" w:rsidR="00000000" w:rsidRPr="00000000">
              <w:rPr>
                <w:rtl w:val="0"/>
              </w:rPr>
            </w:r>
          </w:p>
        </w:tc>
      </w:tr>
    </w:tbl>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sectPr>
      <w:pgSz w:h="11906" w:w="16838" w:orient="landscape"/>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before="240" w:line="259" w:lineRule="auto"/>
    </w:pPr>
    <w:rPr>
      <w:rFonts w:ascii="Calibri" w:cs="Calibri" w:eastAsia="Calibri" w:hAnsi="Calibri"/>
      <w:color w:val="2e75b5"/>
      <w:sz w:val="32"/>
      <w:szCs w:val="3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tcPr>
      <w:shd w:fill="deebf6" w:val="clear"/>
    </w:tcPr>
    <w:tblStylePr w:type="band1Horz">
      <w:tcPr>
        <w:shd w:fill="bdd7ee" w:val="clear"/>
      </w:tcPr>
    </w:tblStylePr>
    <w:tblStylePr w:type="band1Vert">
      <w:tcPr>
        <w:shd w:fill="bdd7ee"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5b9bd5"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5b9bd5"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5b9bd5"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5b9bd5" w:val="clear"/>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