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tbl>
      <w:tblPr>
        <w:tblStyle w:val="Table1"/>
        <w:tblW w:w="10043.0" w:type="dxa"/>
        <w:jc w:val="left"/>
        <w:tblInd w:w="28.000000000000007" w:type="dxa"/>
        <w:tblLayout w:type="fixed"/>
        <w:tblLook w:val="0000"/>
      </w:tblPr>
      <w:tblGrid>
        <w:gridCol w:w="1298"/>
        <w:gridCol w:w="3217"/>
        <w:gridCol w:w="2418"/>
        <w:gridCol w:w="3110"/>
        <w:tblGridChange w:id="0">
          <w:tblGrid>
            <w:gridCol w:w="1298"/>
            <w:gridCol w:w="3217"/>
            <w:gridCol w:w="2418"/>
            <w:gridCol w:w="3110"/>
          </w:tblGrid>
        </w:tblGridChange>
      </w:tblGrid>
      <w:tr>
        <w:trPr>
          <w:cantSplit w:val="0"/>
          <w:trHeight w:val="520" w:hRule="atLeast"/>
          <w:tblHeader w:val="0"/>
        </w:trPr>
        <w:tc>
          <w:tcPr>
            <w:shd w:fill="ced7e7" w:val="clear"/>
            <w:vAlign w:val="bottom"/>
          </w:tcPr>
          <w:p w:rsidR="00000000" w:rsidDel="00000000" w:rsidP="00000000" w:rsidRDefault="00000000" w:rsidRPr="00000000" w14:paraId="00000002">
            <w:pPr>
              <w:pageBreakBefore w:val="0"/>
              <w:rPr/>
            </w:pPr>
            <w:r w:rsidDel="00000000" w:rsidR="00000000" w:rsidRPr="00000000">
              <w:rPr>
                <w:rtl w:val="0"/>
              </w:rPr>
            </w:r>
          </w:p>
        </w:tc>
        <w:tc>
          <w:tcPr>
            <w:gridSpan w:val="3"/>
            <w:shd w:fill="ced7e7" w:val="clear"/>
            <w:vAlign w:val="bottom"/>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center" w:leader="none" w:pos="2018"/>
                <w:tab w:val="left" w:leader="none" w:pos="2448"/>
              </w:tabs>
              <w:spacing w:after="0" w:before="0" w:line="240" w:lineRule="auto"/>
              <w:ind w:left="0" w:right="0" w:firstLine="0"/>
              <w:jc w:val="both"/>
              <w:rPr>
                <w:rFonts w:ascii="Cambria" w:cs="Cambria" w:eastAsia="Cambria" w:hAnsi="Cambria"/>
                <w:b w:val="0"/>
                <w:i w:val="0"/>
                <w:smallCaps w:val="0"/>
                <w:strike w:val="0"/>
                <w:color w:val="00000a"/>
                <w:sz w:val="17"/>
                <w:szCs w:val="17"/>
                <w:u w:val="none"/>
                <w:shd w:fill="auto" w:val="clear"/>
                <w:vertAlign w:val="baseline"/>
              </w:rPr>
            </w:pPr>
            <w:r w:rsidDel="00000000" w:rsidR="00000000" w:rsidRPr="00000000">
              <w:rPr>
                <w:rFonts w:ascii="Cambria" w:cs="Cambria" w:eastAsia="Cambria" w:hAnsi="Cambria"/>
                <w:b w:val="1"/>
                <w:i w:val="0"/>
                <w:smallCaps w:val="0"/>
                <w:strike w:val="0"/>
                <w:color w:val="00000a"/>
                <w:sz w:val="36"/>
                <w:szCs w:val="36"/>
                <w:u w:val="none"/>
                <w:shd w:fill="auto" w:val="clear"/>
                <w:vertAlign w:val="baseline"/>
                <w:rtl w:val="0"/>
              </w:rPr>
              <w:t xml:space="preserve">ITK self-reflection for FSR’s</w:t>
            </w:r>
            <w:r w:rsidDel="00000000" w:rsidR="00000000" w:rsidRPr="00000000">
              <w:rPr>
                <w:rtl w:val="0"/>
              </w:rPr>
            </w:r>
          </w:p>
        </w:tc>
      </w:tr>
      <w:tr>
        <w:trPr>
          <w:cantSplit w:val="0"/>
          <w:trHeight w:val="440" w:hRule="atLeast"/>
          <w:tblHeader w:val="0"/>
        </w:trPr>
        <w:tc>
          <w:tcPr>
            <w:shd w:fill="ced7e7" w:val="clear"/>
            <w:vAlign w:val="bottom"/>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s>
              <w:spacing w:after="40" w:before="0" w:line="300" w:lineRule="auto"/>
              <w:ind w:left="0" w:right="0" w:firstLine="0"/>
              <w:jc w:val="both"/>
              <w:rPr>
                <w:rFonts w:ascii="Cambria" w:cs="Cambria" w:eastAsia="Cambria" w:hAnsi="Cambria"/>
                <w:b w:val="0"/>
                <w:i w:val="0"/>
                <w:smallCaps w:val="0"/>
                <w:strike w:val="0"/>
                <w:color w:val="00000a"/>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a"/>
                <w:sz w:val="14"/>
                <w:szCs w:val="14"/>
                <w:u w:val="none"/>
                <w:shd w:fill="auto" w:val="clear"/>
                <w:vertAlign w:val="baseline"/>
                <w:rtl w:val="0"/>
              </w:rPr>
              <w:t xml:space="preserve">Status</w:t>
            </w:r>
          </w:p>
        </w:tc>
        <w:tc>
          <w:tcPr>
            <w:shd w:fill="ced7e7" w:val="clear"/>
            <w:vAlign w:val="bottom"/>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center" w:leader="none" w:pos="2018"/>
                <w:tab w:val="left" w:leader="none" w:pos="2448"/>
              </w:tabs>
              <w:spacing w:after="0" w:before="0" w:line="300" w:lineRule="auto"/>
              <w:ind w:left="0" w:right="0" w:firstLine="0"/>
              <w:jc w:val="both"/>
              <w:rPr>
                <w:rFonts w:ascii="Cambria" w:cs="Cambria" w:eastAsia="Cambria" w:hAnsi="Cambria"/>
                <w:b w:val="0"/>
                <w:i w:val="0"/>
                <w:smallCaps w:val="0"/>
                <w:strike w:val="0"/>
                <w:color w:val="00000a"/>
                <w:sz w:val="17"/>
                <w:szCs w:val="17"/>
                <w:u w:val="none"/>
                <w:shd w:fill="auto" w:val="clear"/>
                <w:vertAlign w:val="baseline"/>
              </w:rPr>
            </w:pPr>
            <w:r w:rsidDel="00000000" w:rsidR="00000000" w:rsidRPr="00000000">
              <w:rPr>
                <w:rFonts w:ascii="Cambria" w:cs="Cambria" w:eastAsia="Cambria" w:hAnsi="Cambria"/>
                <w:b w:val="0"/>
                <w:i w:val="0"/>
                <w:smallCaps w:val="0"/>
                <w:strike w:val="0"/>
                <w:color w:val="00000a"/>
                <w:sz w:val="17"/>
                <w:szCs w:val="17"/>
                <w:u w:val="none"/>
                <w:shd w:fill="auto" w:val="clear"/>
                <w:vertAlign w:val="baseline"/>
                <w:rtl w:val="0"/>
              </w:rPr>
              <w:t xml:space="preserve">Informing/discussing/asking for input </w:t>
            </w:r>
          </w:p>
        </w:tc>
        <w:tc>
          <w:tcPr>
            <w:shd w:fill="ced7e7" w:val="clear"/>
            <w:vAlign w:val="bottom"/>
          </w:tcPr>
          <w:p w:rsidR="00000000" w:rsidDel="00000000" w:rsidP="00000000" w:rsidRDefault="00000000" w:rsidRPr="00000000" w14:paraId="00000008">
            <w:pPr>
              <w:pageBreakBefore w:val="0"/>
              <w:rPr/>
            </w:pPr>
            <w:r w:rsidDel="00000000" w:rsidR="00000000" w:rsidRPr="00000000">
              <w:rPr>
                <w:rtl w:val="0"/>
              </w:rPr>
            </w:r>
          </w:p>
        </w:tc>
        <w:tc>
          <w:tcPr>
            <w:shd w:fill="ced7e7" w:val="clear"/>
            <w:vAlign w:val="bottom"/>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center" w:leader="none" w:pos="2018"/>
                <w:tab w:val="left" w:leader="none" w:pos="2448"/>
              </w:tabs>
              <w:spacing w:after="0" w:before="0" w:line="300" w:lineRule="auto"/>
              <w:ind w:left="0" w:right="0" w:firstLine="0"/>
              <w:jc w:val="both"/>
              <w:rPr>
                <w:rFonts w:ascii="Cambria" w:cs="Cambria" w:eastAsia="Cambria" w:hAnsi="Cambria"/>
                <w:b w:val="0"/>
                <w:i w:val="0"/>
                <w:smallCaps w:val="0"/>
                <w:strike w:val="0"/>
                <w:color w:val="00000a"/>
                <w:sz w:val="17"/>
                <w:szCs w:val="17"/>
                <w:u w:val="none"/>
                <w:shd w:fill="auto" w:val="clear"/>
                <w:vertAlign w:val="baseline"/>
              </w:rPr>
            </w:pPr>
            <w:r w:rsidDel="00000000" w:rsidR="00000000" w:rsidRPr="00000000">
              <w:rPr>
                <w:rFonts w:ascii="Cambria" w:cs="Cambria" w:eastAsia="Cambria" w:hAnsi="Cambria"/>
                <w:b w:val="0"/>
                <w:i w:val="0"/>
                <w:smallCaps w:val="0"/>
                <w:strike w:val="0"/>
                <w:color w:val="00000a"/>
                <w:sz w:val="17"/>
                <w:szCs w:val="17"/>
                <w:u w:val="none"/>
                <w:shd w:fill="auto" w:val="clear"/>
                <w:vertAlign w:val="baseline"/>
                <w:rtl w:val="0"/>
              </w:rPr>
              <w:t xml:space="preserve">Mees van Rees </w:t>
            </w:r>
          </w:p>
        </w:tc>
      </w:tr>
    </w:tbl>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80" w:before="0" w:line="240"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tl w:val="0"/>
        </w:rPr>
      </w:r>
    </w:p>
    <w:p w:rsidR="00000000" w:rsidDel="00000000" w:rsidP="00000000" w:rsidRDefault="00000000" w:rsidRPr="00000000" w14:paraId="0000000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90" w:line="300" w:lineRule="auto"/>
        <w:ind w:left="0" w:right="0" w:firstLine="0"/>
        <w:jc w:val="both"/>
        <w:rPr>
          <w:rFonts w:ascii="Cambria" w:cs="Cambria" w:eastAsia="Cambria" w:hAnsi="Cambria"/>
          <w:b w:val="1"/>
          <w:i w:val="0"/>
          <w:smallCaps w:val="0"/>
          <w:strike w:val="0"/>
          <w:color w:val="d70929"/>
          <w:sz w:val="24"/>
          <w:szCs w:val="24"/>
          <w:u w:val="none"/>
          <w:shd w:fill="auto" w:val="clear"/>
          <w:vertAlign w:val="baseline"/>
        </w:rPr>
      </w:pPr>
      <w:r w:rsidDel="00000000" w:rsidR="00000000" w:rsidRPr="00000000">
        <w:rPr>
          <w:rFonts w:ascii="Cambria" w:cs="Cambria" w:eastAsia="Cambria" w:hAnsi="Cambria"/>
          <w:b w:val="1"/>
          <w:i w:val="0"/>
          <w:smallCaps w:val="0"/>
          <w:strike w:val="0"/>
          <w:color w:val="d70929"/>
          <w:sz w:val="24"/>
          <w:szCs w:val="24"/>
          <w:u w:val="none"/>
          <w:shd w:fill="auto" w:val="clear"/>
          <w:vertAlign w:val="baseline"/>
          <w:rtl w:val="0"/>
        </w:rPr>
        <w:t xml:space="preserve">Inleiding</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The Instellingstoets kwaliteitszorg (ITK) is 6-yearly check on the way quality is ensured at Dutch universities. A panel visits the university and talks to different policy makers, employees and students. If a university does not pass the ITK, or receives bad feedback on certain topics, the </w:t>
      </w:r>
      <w:r w:rsidDel="00000000" w:rsidR="00000000" w:rsidRPr="00000000">
        <w:rPr>
          <w:rFonts w:ascii="Cambria" w:cs="Cambria" w:eastAsia="Cambria" w:hAnsi="Cambria"/>
          <w:b w:val="0"/>
          <w:i w:val="1"/>
          <w:smallCaps w:val="0"/>
          <w:strike w:val="0"/>
          <w:color w:val="00000a"/>
          <w:sz w:val="19"/>
          <w:szCs w:val="19"/>
          <w:u w:val="none"/>
          <w:shd w:fill="auto" w:val="clear"/>
          <w:vertAlign w:val="baseline"/>
          <w:rtl w:val="0"/>
        </w:rPr>
        <w:t xml:space="preserve">onderwijsinspectie</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(educational-inspection?) has a Grounds to investigate and supervise progress on the relevant subjects/programmes, causing a bureaucratic burden on the institution. The ITK for the UvA is Happening next November. The panel works with a guideline written by the university itself. This guideline is called the critical self-reflection and will be </w:t>
      </w: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send to the CSR for advice</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in the upcoming weeks. With this document I send you the latest version (0.8) of this self-reflection. I would like to ask you (the FSR’s) whether</w:t>
      </w: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 you agree with the analysis by the self-reflection has of how quality is assured on the UvA.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This self reflection has been constructed by an external hire, Alexander Babeliowsky, with a working group including a CSR member, central policymakers and educational directors. Over the past 2 years, Alexander has reviewed what has happened with the advices of the previous ITK and has mapped everything that has happened policy-wise to increase quality assurance at the university. There has also been a meeting between Alexander Babeliowsky and the FSR’s (facilitated by Sasha Borovitskaya) to find out on which topics the reflection should be very critical, and on what topics the UvA is doing fine.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Note that the self-reflection has to be critical enough for the panel to trust it, but that it can also trigger the panel to become overly critical, scrutinising very specific areas of the institution. This can cause a lot of bureaucratic stress for the UvA. Alexanders’ goal is to make the UvA pass the ITK, and he genuinely believes not passing the ITK has more negative effects for the UvA than being overly critical and not passing the ITK.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Alexander helps multiple universities pass the ITK and brings up Wageningen University quite often. In Wageningen, the </w:t>
      </w:r>
      <w:r w:rsidDel="00000000" w:rsidR="00000000" w:rsidRPr="00000000">
        <w:rPr>
          <w:rFonts w:ascii="Cambria" w:cs="Cambria" w:eastAsia="Cambria" w:hAnsi="Cambria"/>
          <w:b w:val="0"/>
          <w:i w:val="1"/>
          <w:smallCaps w:val="0"/>
          <w:strike w:val="0"/>
          <w:color w:val="00000a"/>
          <w:sz w:val="19"/>
          <w:szCs w:val="19"/>
          <w:u w:val="none"/>
          <w:shd w:fill="auto" w:val="clear"/>
          <w:vertAlign w:val="baseline"/>
          <w:rtl w:val="0"/>
        </w:rPr>
        <w:t xml:space="preserve">medezeggenschap</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used their influence to make the self-reflection more critical than the policymakers and Alexander desired, resulting in the panel becoming suspicious and causing a lot of bureaucratic burden. Because of the trouble that comes with this, in Alexanders opinion, it would be wise to not advise negatively on the self-reflection (surprise).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At a lovely University called the VU, some students decided to plan a protest during their last ITK in 2013. According to Alexander, this caused the panel to become very suspicious since students were protesting for the quality of their education, and the panel was investigating the way this is assured at the university; they eventually decided to put certain courses of the VU under supervision. The UvA has no clear plan how to deal with </w:t>
      </w:r>
      <w:r w:rsidDel="00000000" w:rsidR="00000000" w:rsidRPr="00000000">
        <w:rPr>
          <w:rFonts w:ascii="Cambria" w:cs="Cambria" w:eastAsia="Cambria" w:hAnsi="Cambria"/>
          <w:b w:val="0"/>
          <w:i w:val="1"/>
          <w:smallCaps w:val="0"/>
          <w:strike w:val="0"/>
          <w:color w:val="00000a"/>
          <w:sz w:val="19"/>
          <w:szCs w:val="19"/>
          <w:u w:val="single"/>
          <w:shd w:fill="auto" w:val="clear"/>
          <w:vertAlign w:val="baseline"/>
          <w:rtl w:val="0"/>
        </w:rPr>
        <w:t xml:space="preserve">possible</w:t>
      </w:r>
      <w:r w:rsidDel="00000000" w:rsidR="00000000" w:rsidRPr="00000000">
        <w:rPr>
          <w:rFonts w:ascii="Cambria" w:cs="Cambria" w:eastAsia="Cambria" w:hAnsi="Cambria"/>
          <w:b w:val="0"/>
          <w:i w:val="1"/>
          <w:smallCaps w:val="0"/>
          <w:strike w:val="0"/>
          <w:color w:val="00000a"/>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protests during the ITK visits in November. </w:t>
      </w:r>
    </w:p>
    <w:p w:rsidR="00000000" w:rsidDel="00000000" w:rsidP="00000000" w:rsidRDefault="00000000" w:rsidRPr="00000000" w14:paraId="0000001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90" w:line="300" w:lineRule="auto"/>
        <w:ind w:left="0" w:right="0" w:firstLine="0"/>
        <w:jc w:val="both"/>
        <w:rPr>
          <w:rFonts w:ascii="Cambria" w:cs="Cambria" w:eastAsia="Cambria" w:hAnsi="Cambria"/>
          <w:b w:val="1"/>
          <w:i w:val="0"/>
          <w:smallCaps w:val="0"/>
          <w:strike w:val="0"/>
          <w:color w:val="d70929"/>
          <w:sz w:val="24"/>
          <w:szCs w:val="24"/>
          <w:u w:val="none"/>
          <w:shd w:fill="auto" w:val="clear"/>
          <w:vertAlign w:val="baseline"/>
        </w:rPr>
      </w:pPr>
      <w:r w:rsidDel="00000000" w:rsidR="00000000" w:rsidRPr="00000000">
        <w:rPr>
          <w:rFonts w:ascii="Cambria" w:cs="Cambria" w:eastAsia="Cambria" w:hAnsi="Cambria"/>
          <w:b w:val="1"/>
          <w:i w:val="0"/>
          <w:smallCaps w:val="0"/>
          <w:strike w:val="0"/>
          <w:color w:val="d70929"/>
          <w:sz w:val="24"/>
          <w:szCs w:val="24"/>
          <w:u w:val="none"/>
          <w:shd w:fill="auto" w:val="clear"/>
          <w:vertAlign w:val="baseline"/>
          <w:rtl w:val="0"/>
        </w:rPr>
        <w:t xml:space="preserve">Status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For the international councils and for the convenience of everyone that is not willing to read the 59-page self-reflection, I have written an English summary of the self-reflection.  I hope it helps. Also, the reflection is still lacking examples on  the topics it addresses; Alexander is currently working on this.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The reflection consists of:</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-An introduction outlining general affairs (like our relation to the VU, the follow-up to the occupation of 2014)</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1. Vision and policy</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2. Implementation of policy</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3. Evaluation and monitoring</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4. Development</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5. Appendices (policy- and data documents, currently under construction)</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(every chapter has a section detailing relevant subjects, followed by a reflection </w:t>
      </w:r>
      <w:r w:rsidDel="00000000" w:rsidR="00000000" w:rsidRPr="00000000">
        <w:rPr>
          <w:rFonts w:ascii="Cambria" w:cs="Cambria" w:eastAsia="Cambria" w:hAnsi="Cambria"/>
          <w:b w:val="0"/>
          <w:i w:val="1"/>
          <w:smallCaps w:val="0"/>
          <w:strike w:val="0"/>
          <w:color w:val="00000a"/>
          <w:sz w:val="19"/>
          <w:szCs w:val="19"/>
          <w:u w:val="none"/>
          <w:shd w:fill="auto" w:val="clear"/>
          <w:vertAlign w:val="baseline"/>
          <w:rtl w:val="0"/>
        </w:rPr>
        <w:t xml:space="preserve">(reflectie op standaard…)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giving critical remarks on the subjects addressed in the respective..?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Introduction: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The introduction contains general facts about the university, and states that decentral decision making is a key element of the way the UvA works. It goes on about everything that has happened at the UvA since the last ITK, being the whole occupation thing, switching of boards, switching of RvT, the ten-point plan (and all commissions), the continuing decrease of funding from the government and  the appointment of a central student assessor. This is not the most exciting chapter, since it is merely stating facts.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The only juicy thing is that the UCO wanted a positive note in there, which is why Alexander took up a small paragraph on the rankings (see page 7).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1"/>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1"/>
          <w:i w:val="0"/>
          <w:smallCaps w:val="0"/>
          <w:strike w:val="0"/>
          <w:color w:val="00000a"/>
          <w:sz w:val="19"/>
          <w:szCs w:val="19"/>
          <w:u w:val="none"/>
          <w:shd w:fill="auto" w:val="clear"/>
          <w:vertAlign w:val="baseline"/>
          <w:rtl w:val="0"/>
        </w:rPr>
        <w:t xml:space="preserve">Chapter 1</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Chapter 1  how policy is formed on the basis of the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onderwijsvisie</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It goes through a range of topics like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Studiesucces</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Blended Learning, Linking research and education, accessibility and the general workings of the PCDA (Plan Check Do Act, it is explained in this chapter as well) cycles on the UvA. </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A paragraph on diversity has been added in the latest version (page 18/19 marked green). The current discussion about Anne de Graaff has explicitly not been taken up in the Reflection. The CSR also proposed including a sentence on the way faculty diversity programs are having some problems; this does not seem to be in there as of now, and will be taken into account in our advice.</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Reflection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states how happy we are with the way the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onderwijsvisie</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has been revised — that all relevant factors (i.e. the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medezggenschap</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and the municipality) have been involved timely and that the ambitions from the onderwijsvisie have been properly anchored in policy. It also states the onderwijsvisie is not static and a midterm review is underway. A summary of the onderwijsvisie is given and certain topics are Highlighted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Regarding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studysucces,</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the reflection points out it is a continuous point of attention, details arising problems and gives examples of how the studysucces reports have been implemented and have flexibilised 884 for instance. According to the UvA, we want to focus more on the qualitative and less on the quantitative side of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studysucces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in the coming years. It also states that the quantitative goals have not been reached; they phrase this quite subtly. </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Regarding internationalisation, it says that we need to find a sustainable balance in becoming a bilingual integrated university. The focus will be on three levels: balance between Dutch and International students, balance between Dutch and English facilitation and balance Dutch and English courses. </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7"/>
          <w:sz w:val="19"/>
          <w:szCs w:val="19"/>
          <w:u w:val="none"/>
          <w:shd w:fill="auto" w:val="clear"/>
          <w:vertAlign w:val="baseline"/>
          <w:rtl w:val="0"/>
        </w:rPr>
        <w:t xml:space="preserve">Regarding</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internationalisation, the reflection mostly names the positives sides (3</w:t>
      </w:r>
      <w:r w:rsidDel="00000000" w:rsidR="00000000" w:rsidRPr="00000000">
        <w:rPr>
          <w:rFonts w:ascii="Caladea" w:cs="Caladea" w:eastAsia="Caladea" w:hAnsi="Caladea"/>
          <w:b w:val="0"/>
          <w:i w:val="0"/>
          <w:smallCaps w:val="0"/>
          <w:strike w:val="0"/>
          <w:color w:val="000007"/>
          <w:sz w:val="20"/>
          <w:szCs w:val="20"/>
          <w:u w:val="none"/>
          <w:shd w:fill="auto" w:val="clear"/>
          <w:vertAlign w:val="superscript"/>
          <w:rtl w:val="0"/>
        </w:rPr>
        <w:t xml:space="preserve">rd</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paragraph, page 29). After the question of this being too positive was raised, a few sentences on balancing the effects of internationalization.</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1"/>
          <w:smallCaps w:val="0"/>
          <w:strike w:val="0"/>
          <w:color w:val="000007"/>
          <w:sz w:val="19"/>
          <w:szCs w:val="19"/>
          <w:u w:val="none"/>
          <w:shd w:fill="auto" w:val="clear"/>
          <w:vertAlign w:val="baseline"/>
          <w:rtl w:val="0"/>
        </w:rPr>
        <w:t xml:space="preserve">An e</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xplicit point of attention</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the last paragraph on page 29 was written by me, and states the amount of effort Student councils have to put into getting information. If you have had debates about this topic, please include them in your response.</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ladea" w:cs="Caladea" w:eastAsia="Caladea" w:hAnsi="Caladea"/>
          <w:b w:val="0"/>
          <w:i w:val="0"/>
          <w:smallCaps w:val="0"/>
          <w:strike w:val="0"/>
          <w:color w:val="000007"/>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Chapter 2: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This chapter goes on about personnel and exam policy, facilities and functional limitations. On all of these subjects it states more or less what is being done now, with the occasional “we’re doing okay”, “we find this important” or “we need to put more focus on this”. Regarding personnel (page 31), it states the existence of the strategic HR agenda, an ambition to get to a good balance between education and research (this stays vague) and states the existence of the diversity officer. On examination (page 32) it states we are revising the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kader-toetsbeleid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and the requirements the UvA has for exam committees. Regarding functional limitation, it states the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accessibility-scan”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of the buildings, and the commitment of the CvB for 8 million euros and the platform that was started in the beginning of 2017. It outlines the accessibility policy that was set in 2016 as an example of what the UvA is doing on this topic.. (page 35 and top of page 36)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Reflection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(page 36) According to the reflection, the UvA has been slacking on HR-policy. The reflection states that the new HR agenda will improve the situation. The same goes for the accessibility topics. Working pressure is branded a constant factor of attention. The cause of this heightened working pressure is a multitude of factors such as more intense external reviews, a trend towards more activating way of education and the pressure on employees to balance research and education. Not a lot is being named as a way to solve these issues, only that academic affairs makes a yearly plan to implement the ambitions of the onderwijsvisie (bottom of page 37).  </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The last paragraph was again added by us, since student working pressure was not being taken into account. Please let me know if this is sufficient.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Caladea" w:cs="Caladea" w:eastAsia="Caladea" w:hAnsi="Caladea"/>
          <w:b w:val="1"/>
          <w:i w:val="0"/>
          <w:smallCaps w:val="0"/>
          <w:strike w:val="0"/>
          <w:color w:val="000007"/>
          <w:sz w:val="20"/>
          <w:szCs w:val="20"/>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Chapter 3: Evaluation and monitoring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Descriptive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chapter 3 encompasses managmen tinformation (UvAData), Accreditation, Risk analysis, evaluation and satisfaction monitoring. The UvA is praised for UvAdata all over the country, so this is the main focus of this chapter (pages 39 and 40).  It gets interesting at educational evaluations, where UvAQ is named as the primary way of evaluating courses and a description is given of how this information is used. We tried to get something in there about what OC’s are involved in the quality assurance system as we discussed this with the CvB early on in our council year, but as of now this does not seem to have made the cut. </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The part on the NSE and other surveys is not really negotiable to Alexander, since the NVAO committees are really keen on seeing what a university does with these.</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Reflection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Very short summary: we are very happy about UvAdata, educational dashboards on multiple governance levels are a great idea. Not everyone was happy,  but  nowadays there’s almost no critique on the system, and it works fine. If this last sentence is not how UvAQ is handled in your faculty, please let me know. </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ladea" w:cs="Caladea" w:eastAsia="Caladea" w:hAnsi="Caladea"/>
          <w:b w:val="0"/>
          <w:i w:val="0"/>
          <w:smallCaps w:val="0"/>
          <w:strike w:val="0"/>
          <w:color w:val="000007"/>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Chapter 4: Devolpment</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Descriptive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This chapter describes the way agreements between the deans and the CvB are made (in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Centraal bestuurlijk overleggen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and </w:t>
      </w:r>
      <w:r w:rsidDel="00000000" w:rsidR="00000000" w:rsidRPr="00000000">
        <w:rPr>
          <w:rFonts w:ascii="Caladea" w:cs="Caladea" w:eastAsia="Caladea" w:hAnsi="Caladea"/>
          <w:b w:val="0"/>
          <w:i w:val="1"/>
          <w:smallCaps w:val="0"/>
          <w:strike w:val="0"/>
          <w:color w:val="000007"/>
          <w:sz w:val="20"/>
          <w:szCs w:val="20"/>
          <w:u w:val="none"/>
          <w:shd w:fill="auto" w:val="clear"/>
          <w:vertAlign w:val="baseline"/>
          <w:rtl w:val="0"/>
        </w:rPr>
        <w:t xml:space="preserve">Centraal Periodieke overleggen</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and how they are monitored (again proudly displaying UvAdata). On our account, a paragraph on the involvement of OC’s has been added (page 45 under 4.4), although it did not contain the critical notes I suggested.  The process of how the ITK was handled and how the NSE is being accounted for is further discussed.</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4.6 on page 50 is a summary of everything that has been done in preparation for the ITK, with the advices from the last ITK.</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Reflection </w:t>
      </w: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(page 52) The reflection states we are very happy with the way the instruments of evaluation and monitoring on the UvA function. The midterm review of the previous ITK went well and some OC’s are are performing better, while others need to make big steps and need to be involved more when the educational directors make their yearly reports.</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0"/>
          <w:i w:val="0"/>
          <w:smallCaps w:val="0"/>
          <w:strike w:val="0"/>
          <w:color w:val="000007"/>
          <w:sz w:val="20"/>
          <w:szCs w:val="20"/>
          <w:u w:val="none"/>
          <w:shd w:fill="auto" w:val="clear"/>
          <w:vertAlign w:val="baseline"/>
          <w:rtl w:val="0"/>
        </w:rPr>
        <w:t xml:space="preserve"> It states that a lot has changed since the occupations of the Maagden- and Bungehuis and the implementation of the 10-puntenplan. Also stated on page 53 is that the connection between the university and the professional work field should be strengthened.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ladea" w:cs="Caladea" w:eastAsia="Caladea" w:hAnsi="Caladea"/>
          <w:b w:val="1"/>
          <w:i w:val="0"/>
          <w:smallCaps w:val="0"/>
          <w:strike w:val="0"/>
          <w:color w:val="000007"/>
          <w:sz w:val="20"/>
          <w:szCs w:val="20"/>
          <w:u w:val="none"/>
          <w:shd w:fill="auto" w:val="clear"/>
          <w:vertAlign w:val="baseline"/>
          <w:rtl w:val="0"/>
        </w:rPr>
        <w:t xml:space="preserve">Chapter 5: Appendixes</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ladea" w:cs="Caladea" w:eastAsia="Caladea" w:hAnsi="Caladea"/>
          <w:b w:val="1"/>
          <w:i w:val="0"/>
          <w:smallCaps w:val="0"/>
          <w:strike w:val="0"/>
          <w:color w:val="000007"/>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ladea" w:cs="Caladea" w:eastAsia="Caladea" w:hAnsi="Caladea"/>
          <w:b w:val="1"/>
          <w:i w:val="0"/>
          <w:smallCaps w:val="0"/>
          <w:strike w:val="0"/>
          <w:color w:val="000007"/>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left"/>
        <w:rPr>
          <w:rFonts w:ascii="Caladea" w:cs="Caladea" w:eastAsia="Caladea" w:hAnsi="Caladea"/>
          <w:b w:val="1"/>
          <w:i w:val="0"/>
          <w:smallCaps w:val="0"/>
          <w:strike w:val="0"/>
          <w:color w:val="000007"/>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90" w:line="300" w:lineRule="auto"/>
        <w:ind w:left="0" w:right="0" w:firstLine="0"/>
        <w:jc w:val="both"/>
        <w:rPr>
          <w:rFonts w:ascii="Cambria" w:cs="Cambria" w:eastAsia="Cambria" w:hAnsi="Cambria"/>
          <w:b w:val="1"/>
          <w:i w:val="0"/>
          <w:smallCaps w:val="0"/>
          <w:strike w:val="0"/>
          <w:color w:val="d70929"/>
          <w:sz w:val="24"/>
          <w:szCs w:val="24"/>
          <w:u w:val="none"/>
          <w:shd w:fill="auto" w:val="clear"/>
          <w:vertAlign w:val="baseline"/>
        </w:rPr>
      </w:pPr>
      <w:r w:rsidDel="00000000" w:rsidR="00000000" w:rsidRPr="00000000">
        <w:rPr>
          <w:rFonts w:ascii="Cambria" w:cs="Cambria" w:eastAsia="Cambria" w:hAnsi="Cambria"/>
          <w:b w:val="1"/>
          <w:i w:val="0"/>
          <w:smallCaps w:val="0"/>
          <w:strike w:val="0"/>
          <w:color w:val="d70929"/>
          <w:sz w:val="24"/>
          <w:szCs w:val="24"/>
          <w:u w:val="none"/>
          <w:shd w:fill="auto" w:val="clear"/>
          <w:vertAlign w:val="baseline"/>
          <w:rtl w:val="0"/>
        </w:rPr>
        <w:t xml:space="preserve">Discussiepunten</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Please discus this internally so I can inform the CSR on the FSR's stances when we decide what to advice on the self-reflection, and take into account your remarks when writing an advice. </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Do you agree with the way the introduction describes the Uva?</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Do you agree with the analysis in chapter 1?</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Do you agree with the analysis in chapter 2?</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Do you agree with the analysis in chapter 3?</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Do you agree with the analysis in chapter 4?</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80" w:before="0" w:line="300" w:lineRule="auto"/>
        <w:ind w:left="720" w:right="0" w:hanging="360"/>
        <w:jc w:val="both"/>
        <w:rPr>
          <w:rFonts w:ascii="Cambria" w:cs="Cambria" w:eastAsia="Cambria" w:hAnsi="Cambria"/>
          <w:color w:val="00000a"/>
          <w:u w:val="none"/>
          <w:shd w:fill="auto" w:val="clear"/>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Is anything missing in the reflection?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300" w:lineRule="auto"/>
        <w:ind w:left="0" w:right="0" w:firstLine="0"/>
        <w:jc w:val="both"/>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8" w:w="11906" w:orient="portrait"/>
      <w:pgMar w:bottom="1701" w:top="2268" w:left="2268" w:right="1854" w:header="822" w:footer="82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Calade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7758"/>
        <w:tab w:val="right" w:leader="none" w:pos="8640"/>
      </w:tabs>
      <w:spacing w:after="0" w:before="0" w:line="300" w:lineRule="auto"/>
      <w:ind w:left="0" w:right="0" w:firstLine="0"/>
      <w:jc w:val="righ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d70929"/>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7758"/>
        <w:tab w:val="right" w:leader="none" w:pos="8640"/>
      </w:tabs>
      <w:spacing w:after="0" w:before="0" w:line="300" w:lineRule="auto"/>
      <w:ind w:left="0" w:right="0" w:firstLine="0"/>
      <w:jc w:val="left"/>
      <w:rPr>
        <w:rFonts w:ascii="Cambria" w:cs="Cambria" w:eastAsia="Cambria" w:hAnsi="Cambria"/>
        <w:b w:val="0"/>
        <w:i w:val="0"/>
        <w:smallCaps w:val="0"/>
        <w:strike w:val="0"/>
        <w:color w:val="00000a"/>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a"/>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d70929"/>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d70929"/>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a"/>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left" w:leader="none" w:pos="6400"/>
        <w:tab w:val="right" w:leader="none" w:pos="7758"/>
        <w:tab w:val="right" w:leader="none" w:pos="8640"/>
      </w:tabs>
      <w:spacing w:after="0" w:before="0" w:line="240" w:lineRule="auto"/>
      <w:ind w:left="0" w:right="1701" w:firstLine="0"/>
      <w:jc w:val="right"/>
      <w:rPr>
        <w:rFonts w:ascii="Cambria" w:cs="Cambria" w:eastAsia="Cambria" w:hAnsi="Cambria"/>
        <w:b w:val="0"/>
        <w:i w:val="0"/>
        <w:smallCaps w:val="0"/>
        <w:strike w:val="0"/>
        <w:color w:val="00000a"/>
        <w:sz w:val="14"/>
        <w:szCs w:val="14"/>
        <w:u w:val="none"/>
        <w:shd w:fill="auto" w:val="clear"/>
        <w:vertAlign w:val="baseline"/>
      </w:rPr>
    </w:pPr>
    <w:r w:rsidDel="00000000" w:rsidR="00000000" w:rsidRPr="00000000">
      <w:rPr>
        <w:rFonts w:ascii="Cambria" w:cs="Cambria" w:eastAsia="Cambria" w:hAnsi="Cambria"/>
        <w:b w:val="0"/>
        <w:i w:val="0"/>
        <w:smallCaps w:val="0"/>
        <w:strike w:val="0"/>
        <w:color w:val="d70929"/>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d70929"/>
        <w:sz w:val="14"/>
        <w:szCs w:val="14"/>
        <w:u w:val="none"/>
        <w:shd w:fill="auto" w:val="clear"/>
        <w:vertAlign w:val="baseline"/>
        <w:rtl w:val="0"/>
      </w:rPr>
      <w:t xml:space="preserve">Centrale</w:t>
    </w:r>
    <w:r w:rsidDel="00000000" w:rsidR="00000000" w:rsidRPr="00000000">
      <w:rPr>
        <w:rFonts w:ascii="Cambria" w:cs="Cambria" w:eastAsia="Cambria" w:hAnsi="Cambria"/>
        <w:b w:val="0"/>
        <w:i w:val="0"/>
        <w:smallCaps w:val="0"/>
        <w:strike w:val="0"/>
        <w:color w:val="d70929"/>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d70929"/>
        <w:sz w:val="14"/>
        <w:szCs w:val="14"/>
        <w:u w:val="none"/>
        <w:shd w:fill="auto" w:val="clear"/>
        <w:vertAlign w:val="baseline"/>
        <w:rtl w:val="0"/>
      </w:rPr>
      <w:t xml:space="preserve">Studentenraad</w:t>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-1181099</wp:posOffset>
              </wp:positionH>
              <wp:positionV relativeFrom="paragraph">
                <wp:posOffset>241300</wp:posOffset>
              </wp:positionV>
              <wp:extent cx="6142355" cy="219710"/>
              <wp:effectExtent b="0" l="0" r="0" t="0"/>
              <wp:wrapSquare wrapText="bothSides" distB="0" distT="0" distL="0" distR="0"/>
              <wp:docPr descr="Image2" id="2" name=""/>
              <a:graphic>
                <a:graphicData uri="http://schemas.microsoft.com/office/word/2010/wordprocessingShape">
                  <wps:wsp>
                    <wps:cNvSpPr/>
                    <wps:cNvPr id="3" name="Shape 3"/>
                    <wps:spPr>
                      <a:xfrm>
                        <a:off x="2279880" y="3675240"/>
                        <a:ext cx="6132240" cy="209520"/>
                      </a:xfrm>
                      <a:prstGeom prst="rect">
                        <a:avLst/>
                      </a:prstGeom>
                      <a:solidFill>
                        <a:srgbClr val="D70929"/>
                      </a:solidFill>
                      <a:ln>
                        <a:noFill/>
                      </a:ln>
                      <a:effectLst>
                        <a:outerShdw rotWithShape="0" dir="2700000" dist="16290">
                          <a:srgbClr val="808080"/>
                        </a:outerShdw>
                      </a:effectLst>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-1181099</wp:posOffset>
              </wp:positionH>
              <wp:positionV relativeFrom="paragraph">
                <wp:posOffset>241300</wp:posOffset>
              </wp:positionV>
              <wp:extent cx="6142355" cy="219710"/>
              <wp:effectExtent b="0" l="0" r="0" t="0"/>
              <wp:wrapSquare wrapText="bothSides" distB="0" distT="0" distL="0" distR="0"/>
              <wp:docPr descr="Image2" id="2" name="image2.png"/>
              <a:graphic>
                <a:graphicData uri="http://schemas.openxmlformats.org/drawingml/2006/picture">
                  <pic:pic>
                    <pic:nvPicPr>
                      <pic:cNvPr descr="Image2" id="0" name="image2.png"/>
                      <pic:cNvPicPr preferRelativeResize="0"/>
                    </pic:nvPicPr>
                    <pic:blipFill>
                      <a:blip r:embed="rId1"/>
                      <a:srcRect/>
                      <a:stretch>
                        <a:fillRect/>
                      </a:stretch>
                    </pic:blipFill>
                    <pic:spPr>
                      <a:xfrm>
                        <a:off x="0" y="0"/>
                        <a:ext cx="6142355" cy="219710"/>
                      </a:xfrm>
                      <a:prstGeom prst="rect"/>
                      <a:ln/>
                    </pic:spPr>
                  </pic:pic>
                </a:graphicData>
              </a:graphic>
            </wp:anchor>
          </w:drawing>
        </mc:Fallback>
      </mc:AlternateConten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7758"/>
        <w:tab w:val="right" w:leader="none" w:pos="8640"/>
      </w:tabs>
      <w:spacing w:after="0" w:before="0" w:line="240" w:lineRule="auto"/>
      <w:ind w:left="0" w:right="1701" w:firstLine="0"/>
      <w:jc w:val="right"/>
      <w:rPr>
        <w:rFonts w:ascii="Cambria" w:cs="Cambria" w:eastAsia="Cambria" w:hAnsi="Cambria"/>
        <w:b w:val="0"/>
        <w:i w:val="0"/>
        <w:smallCaps w:val="0"/>
        <w:strike w:val="0"/>
        <w:color w:val="00000a"/>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a"/>
        <w:sz w:val="14"/>
        <w:szCs w:val="14"/>
        <w:u w:val="none"/>
        <w:shd w:fill="auto" w:val="clear"/>
        <w:vertAlign w:val="baseline"/>
        <w:rtl w:val="0"/>
      </w:rPr>
      <w:t xml:space="preserve">studentenraad.nl/csr  </w:t>
    </w:r>
    <w:r w:rsidDel="00000000" w:rsidR="00000000" w:rsidRPr="00000000">
      <w:rPr>
        <w:rFonts w:ascii="Cambria" w:cs="Cambria" w:eastAsia="Cambria" w:hAnsi="Cambria"/>
        <w:b w:val="1"/>
        <w:i w:val="0"/>
        <w:smallCaps w:val="0"/>
        <w:strike w:val="0"/>
        <w:color w:val="d70929"/>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a"/>
        <w:sz w:val="14"/>
        <w:szCs w:val="14"/>
        <w:u w:val="none"/>
        <w:shd w:fill="auto" w:val="clear"/>
        <w:vertAlign w:val="baseline"/>
        <w:rtl w:val="0"/>
      </w:rPr>
      <w:t xml:space="preserve"> csr@studentenraad.nl</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7758"/>
        <w:tab w:val="right" w:leader="none" w:pos="8640"/>
      </w:tabs>
      <w:spacing w:after="0" w:before="0" w:line="240" w:lineRule="auto"/>
      <w:ind w:left="0" w:right="1701" w:firstLine="0"/>
      <w:jc w:val="right"/>
      <w:rPr>
        <w:rFonts w:ascii="Cambria" w:cs="Cambria" w:eastAsia="Cambria" w:hAnsi="Cambria"/>
        <w:b w:val="0"/>
        <w:i w:val="0"/>
        <w:smallCaps w:val="0"/>
        <w:strike w:val="0"/>
        <w:color w:val="00000a"/>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-754379</wp:posOffset>
          </wp:positionH>
          <wp:positionV relativeFrom="paragraph">
            <wp:posOffset>599440</wp:posOffset>
          </wp:positionV>
          <wp:extent cx="3464560" cy="822960"/>
          <wp:effectExtent b="0" l="0" r="0" t="0"/>
          <wp:wrapSquare wrapText="bothSides" distB="0" distT="0" distL="0" distR="0"/>
          <wp:docPr descr="Macintosh HD:Users:Bas:Dropbox:Werk:Klanten:Studentenraad:SR Templates (Working):01 Algemene bestanden:01 Logos:Beeld- en tekstmerk (horizontaal):Beeld- en woordmerk (horizontaal)-08.png" id="5"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3464560" cy="822960"/>
                  </a:xfrm>
                  <a:prstGeom prst="rect"/>
                  <a:ln/>
                </pic:spPr>
              </pic:pic>
            </a:graphicData>
          </a:graphic>
        </wp:anchor>
      </w:drawing>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241300</wp:posOffset>
              </wp:positionV>
              <wp:extent cx="5879465" cy="219710"/>
              <wp:effectExtent b="0" l="0" r="0" t="0"/>
              <wp:wrapSquare wrapText="bothSides" distB="0" distT="0" distL="0" distR="0"/>
              <wp:docPr descr="Image3" id="1" name=""/>
              <a:graphic>
                <a:graphicData uri="http://schemas.microsoft.com/office/word/2010/wordprocessingShape">
                  <wps:wsp>
                    <wps:cNvSpPr/>
                    <wps:cNvPr id="2" name="Shape 2"/>
                    <wps:spPr>
                      <a:xfrm>
                        <a:off x="2411280" y="3675240"/>
                        <a:ext cx="5869440" cy="209520"/>
                      </a:xfrm>
                      <a:prstGeom prst="rect">
                        <a:avLst/>
                      </a:prstGeom>
                      <a:solidFill>
                        <a:srgbClr val="D70929"/>
                      </a:solidFill>
                      <a:ln>
                        <a:noFill/>
                      </a:ln>
                      <a:effectLst>
                        <a:outerShdw rotWithShape="0" dir="2700000" dist="16290">
                          <a:srgbClr val="808080"/>
                        </a:outerShdw>
                      </a:effectLst>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241300</wp:posOffset>
              </wp:positionV>
              <wp:extent cx="5879465" cy="219710"/>
              <wp:effectExtent b="0" l="0" r="0" t="0"/>
              <wp:wrapSquare wrapText="bothSides" distB="0" distT="0" distL="0" distR="0"/>
              <wp:docPr descr="Image3" id="1" name="image1.png"/>
              <a:graphic>
                <a:graphicData uri="http://schemas.openxmlformats.org/drawingml/2006/picture">
                  <pic:pic>
                    <pic:nvPicPr>
                      <pic:cNvPr descr="Image3" id="0" name="image1.png"/>
                      <pic:cNvPicPr preferRelativeResize="0"/>
                    </pic:nvPicPr>
                    <pic:blipFill>
                      <a:blip r:embed="rId2"/>
                      <a:srcRect/>
                      <a:stretch>
                        <a:fillRect/>
                      </a:stretch>
                    </pic:blipFill>
                    <pic:spPr>
                      <a:xfrm>
                        <a:off x="0" y="0"/>
                        <a:ext cx="5879465" cy="219710"/>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7758"/>
        <w:tab w:val="right" w:leader="none" w:pos="8640"/>
      </w:tabs>
      <w:spacing w:after="0" w:before="0" w:line="240" w:lineRule="auto"/>
      <w:ind w:left="0" w:right="1701" w:firstLine="0"/>
      <w:jc w:val="right"/>
      <w:rPr>
        <w:rFonts w:ascii="Cambria" w:cs="Cambria" w:eastAsia="Cambria" w:hAnsi="Cambria"/>
        <w:b w:val="0"/>
        <w:i w:val="0"/>
        <w:smallCaps w:val="0"/>
        <w:strike w:val="0"/>
        <w:color w:val="00000a"/>
        <w:sz w:val="14"/>
        <w:szCs w:val="1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-266699</wp:posOffset>
              </wp:positionH>
              <wp:positionV relativeFrom="paragraph">
                <wp:posOffset>241300</wp:posOffset>
              </wp:positionV>
              <wp:extent cx="6142355" cy="219710"/>
              <wp:effectExtent b="0" l="0" r="0" t="0"/>
              <wp:wrapSquare wrapText="bothSides" distB="0" distT="0" distL="0" distR="0"/>
              <wp:docPr descr="Image1" id="3" name=""/>
              <a:graphic>
                <a:graphicData uri="http://schemas.microsoft.com/office/word/2010/wordprocessingShape">
                  <wps:wsp>
                    <wps:cNvSpPr/>
                    <wps:cNvPr id="4" name="Shape 4"/>
                    <wps:spPr>
                      <a:xfrm>
                        <a:off x="2279880" y="3675240"/>
                        <a:ext cx="6132240" cy="209520"/>
                      </a:xfrm>
                      <a:prstGeom prst="rect">
                        <a:avLst/>
                      </a:prstGeom>
                      <a:solidFill>
                        <a:srgbClr val="D70929"/>
                      </a:solidFill>
                      <a:ln>
                        <a:noFill/>
                      </a:ln>
                      <a:effectLst>
                        <a:outerShdw rotWithShape="0" dir="2700000" dist="16290">
                          <a:srgbClr val="808080"/>
                        </a:outerShdw>
                      </a:effectLst>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-266699</wp:posOffset>
              </wp:positionH>
              <wp:positionV relativeFrom="paragraph">
                <wp:posOffset>241300</wp:posOffset>
              </wp:positionV>
              <wp:extent cx="6142355" cy="219710"/>
              <wp:effectExtent b="0" l="0" r="0" t="0"/>
              <wp:wrapSquare wrapText="bothSides" distB="0" distT="0" distL="0" distR="0"/>
              <wp:docPr descr="Image1" id="3" name="image3.png"/>
              <a:graphic>
                <a:graphicData uri="http://schemas.openxmlformats.org/drawingml/2006/picture">
                  <pic:pic>
                    <pic:nvPicPr>
                      <pic:cNvPr descr="Image1" id="0" name="image3.png"/>
                      <pic:cNvPicPr preferRelativeResize="0"/>
                    </pic:nvPicPr>
                    <pic:blipFill>
                      <a:blip r:embed="rId1"/>
                      <a:srcRect/>
                      <a:stretch>
                        <a:fillRect/>
                      </a:stretch>
                    </pic:blipFill>
                    <pic:spPr>
                      <a:xfrm>
                        <a:off x="0" y="0"/>
                        <a:ext cx="6142355" cy="219710"/>
                      </a:xfrm>
                      <a:prstGeom prst="rect"/>
                      <a:ln/>
                    </pic:spPr>
                  </pic:pic>
                </a:graphicData>
              </a:graphic>
            </wp:anchor>
          </w:drawing>
        </mc:Fallback>
      </mc:AlternateContent>
    </w:r>
    <w:r w:rsidDel="00000000" w:rsidR="00000000" w:rsidRPr="00000000">
      <w:drawing>
        <wp:anchor allowOverlap="1" behindDoc="0" distB="0" distT="0" distL="0" distR="0" hidden="0" layoutInCell="1" locked="0" relativeHeight="0" simplePos="0">
          <wp:simplePos x="0" y="0"/>
          <wp:positionH relativeFrom="column">
            <wp:posOffset>-266699</wp:posOffset>
          </wp:positionH>
          <wp:positionV relativeFrom="paragraph">
            <wp:posOffset>518160</wp:posOffset>
          </wp:positionV>
          <wp:extent cx="1808480" cy="436880"/>
          <wp:effectExtent b="0" l="0" r="0" t="0"/>
          <wp:wrapSquare wrapText="bothSides" distB="0" distT="0" distL="0" distR="0"/>
          <wp:docPr descr="Macintosh HD:Users:Bas:Dropbox:Werk:Klanten:Studentenraad:SR Templates (Working):01 Algemene bestanden:01 Logos:Beeld- en tekstmerk (horizontaal):Beeld- en woordmerk (horizontaal)-08.png" id="4"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2"/>
                  <a:srcRect b="0" l="0" r="0" t="0"/>
                  <a:stretch>
                    <a:fillRect/>
                  </a:stretch>
                </pic:blipFill>
                <pic:spPr>
                  <a:xfrm>
                    <a:off x="0" y="0"/>
                    <a:ext cx="1808480" cy="43688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b w:val="0"/>
        <w:i w:val="0"/>
        <w:smallCaps w:val="0"/>
        <w:strike w:val="0"/>
        <w:sz w:val="24"/>
        <w:szCs w:val="24"/>
        <w:vertAlign w:val="baseline"/>
      </w:rPr>
    </w:lvl>
    <w:lvl w:ilvl="1">
      <w:start w:val="1"/>
      <w:numFmt w:val="bullet"/>
      <w:lvlText w:val="◦"/>
      <w:lvlJc w:val="left"/>
      <w:pPr>
        <w:ind w:left="1080" w:hanging="360"/>
      </w:pPr>
      <w:rPr>
        <w:b w:val="0"/>
        <w:i w:val="0"/>
        <w:smallCaps w:val="0"/>
        <w:strike w:val="0"/>
        <w:sz w:val="24"/>
        <w:szCs w:val="24"/>
        <w:vertAlign w:val="baseline"/>
      </w:rPr>
    </w:lvl>
    <w:lvl w:ilvl="2">
      <w:start w:val="1"/>
      <w:numFmt w:val="bullet"/>
      <w:lvlText w:val="▪"/>
      <w:lvlJc w:val="left"/>
      <w:pPr>
        <w:ind w:left="1440" w:hanging="360"/>
      </w:pPr>
      <w:rPr>
        <w:b w:val="0"/>
        <w:i w:val="0"/>
        <w:smallCaps w:val="0"/>
        <w:strike w:val="0"/>
        <w:sz w:val="24"/>
        <w:szCs w:val="24"/>
        <w:vertAlign w:val="baseline"/>
      </w:rPr>
    </w:lvl>
    <w:lvl w:ilvl="3">
      <w:start w:val="1"/>
      <w:numFmt w:val="bullet"/>
      <w:lvlText w:val="·"/>
      <w:lvlJc w:val="left"/>
      <w:pPr>
        <w:ind w:left="1800" w:hanging="360"/>
      </w:pPr>
      <w:rPr>
        <w:b w:val="0"/>
        <w:i w:val="0"/>
        <w:smallCaps w:val="0"/>
        <w:strike w:val="0"/>
        <w:sz w:val="24"/>
        <w:szCs w:val="24"/>
        <w:vertAlign w:val="baseline"/>
      </w:rPr>
    </w:lvl>
    <w:lvl w:ilvl="4">
      <w:start w:val="1"/>
      <w:numFmt w:val="bullet"/>
      <w:lvlText w:val="◦"/>
      <w:lvlJc w:val="left"/>
      <w:pPr>
        <w:ind w:left="2160" w:hanging="360"/>
      </w:pPr>
      <w:rPr>
        <w:b w:val="0"/>
        <w:i w:val="0"/>
        <w:smallCaps w:val="0"/>
        <w:strike w:val="0"/>
        <w:sz w:val="24"/>
        <w:szCs w:val="24"/>
        <w:vertAlign w:val="baseline"/>
      </w:rPr>
    </w:lvl>
    <w:lvl w:ilvl="5">
      <w:start w:val="1"/>
      <w:numFmt w:val="bullet"/>
      <w:lvlText w:val="▪"/>
      <w:lvlJc w:val="left"/>
      <w:pPr>
        <w:ind w:left="2520" w:hanging="360"/>
      </w:pPr>
      <w:rPr>
        <w:b w:val="0"/>
        <w:i w:val="0"/>
        <w:smallCaps w:val="0"/>
        <w:strike w:val="0"/>
        <w:sz w:val="24"/>
        <w:szCs w:val="24"/>
        <w:vertAlign w:val="baseline"/>
      </w:rPr>
    </w:lvl>
    <w:lvl w:ilvl="6">
      <w:start w:val="1"/>
      <w:numFmt w:val="bullet"/>
      <w:lvlText w:val="·"/>
      <w:lvlJc w:val="left"/>
      <w:pPr>
        <w:ind w:left="2880" w:hanging="360"/>
      </w:pPr>
      <w:rPr>
        <w:b w:val="0"/>
        <w:i w:val="0"/>
        <w:smallCaps w:val="0"/>
        <w:strike w:val="0"/>
        <w:sz w:val="24"/>
        <w:szCs w:val="24"/>
        <w:vertAlign w:val="baseline"/>
      </w:rPr>
    </w:lvl>
    <w:lvl w:ilvl="7">
      <w:start w:val="1"/>
      <w:numFmt w:val="bullet"/>
      <w:lvlText w:val="◦"/>
      <w:lvlJc w:val="left"/>
      <w:pPr>
        <w:ind w:left="3240" w:hanging="360"/>
      </w:pPr>
      <w:rPr>
        <w:b w:val="0"/>
        <w:i w:val="0"/>
        <w:smallCaps w:val="0"/>
        <w:strike w:val="0"/>
        <w:sz w:val="24"/>
        <w:szCs w:val="24"/>
        <w:vertAlign w:val="baseline"/>
      </w:rPr>
    </w:lvl>
    <w:lvl w:ilvl="8">
      <w:start w:val="1"/>
      <w:numFmt w:val="bullet"/>
      <w:lvlText w:val="▪"/>
      <w:lvlJc w:val="left"/>
      <w:pPr>
        <w:ind w:left="3600" w:hanging="360"/>
      </w:pPr>
      <w:rPr>
        <w:b w:val="0"/>
        <w:i w:val="0"/>
        <w:smallCaps w:val="0"/>
        <w:strike w:val="0"/>
        <w:sz w:val="24"/>
        <w:szCs w:val="24"/>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color w:val="00000a"/>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80.0" w:type="dxa"/>
        <w:left w:w="80.0" w:type="dxa"/>
        <w:bottom w:w="80.0" w:type="dxa"/>
        <w:right w:w="8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Caladea-regular.ttf"/><Relationship Id="rId2" Type="http://schemas.openxmlformats.org/officeDocument/2006/relationships/font" Target="fonts/Caladea-bold.ttf"/><Relationship Id="rId3" Type="http://schemas.openxmlformats.org/officeDocument/2006/relationships/font" Target="fonts/Caladea-italic.ttf"/><Relationship Id="rId4" Type="http://schemas.openxmlformats.org/officeDocument/2006/relationships/font" Target="fonts/Caladea-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