
<file path=[Content_Types].xml><?xml version="1.0" encoding="utf-8"?>
<Types xmlns="http://schemas.openxmlformats.org/package/2006/content-types">
  <Override PartName="/_rels/.rels" ContentType="application/vnd.openxmlformats-package.relationships+xml"/>
  <Override PartName="/word/_rels/header3.xml.rels" ContentType="application/vnd.openxmlformats-package.relationships+xml"/>
  <Override PartName="/word/_rels/header1.xml.rels" ContentType="application/vnd.openxmlformats-package.relationships+xml"/>
  <Override PartName="/word/_rels/document.xml.rels" ContentType="application/vnd.openxmlformats-package.relationships+xml"/>
  <Override PartName="/word/footer3.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header3.xml" ContentType="application/vnd.openxmlformats-officedocument.wordprocessingml.header+xml"/>
  <Override PartName="/word/settings.xml" ContentType="application/vnd.openxmlformats-officedocument.wordprocessingml.settings+xml"/>
  <Override PartName="/word/header2.xml" ContentType="application/vnd.openxmlformats-officedocument.wordprocessingml.header+xml"/>
  <Override PartName="/word/theme/theme1.xml" ContentType="application/vnd.openxmlformats-officedocument.theme+xml"/>
  <Override PartName="/word/header1.xml" ContentType="application/vnd.openxmlformats-officedocument.wordprocessingml.header+xml"/>
  <Override PartName="/word/media/image3.png" ContentType="image/png"/>
  <Override PartName="/word/media/image2.png" ContentType="image/png"/>
  <Override PartName="/word/media/image1.png" ContentType="image/png"/>
  <Override PartName="/word/styles.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tbl>
      <w:tblPr>
        <w:tblW w:w="10044" w:type="dxa"/>
        <w:jc w:val="left"/>
        <w:tblInd w:w="108" w:type="dxa"/>
        <w:tblBorders/>
        <w:tblCellMar>
          <w:top w:w="80" w:type="dxa"/>
          <w:left w:w="80" w:type="dxa"/>
          <w:bottom w:w="80" w:type="dxa"/>
          <w:right w:w="80" w:type="dxa"/>
        </w:tblCellMar>
      </w:tblPr>
      <w:tblGrid>
        <w:gridCol w:w="1298"/>
        <w:gridCol w:w="3217"/>
        <w:gridCol w:w="2418"/>
        <w:gridCol w:w="3110"/>
      </w:tblGrid>
      <w:tr>
        <w:trPr>
          <w:trHeight w:val="523" w:hRule="atLeast"/>
        </w:trPr>
        <w:tc>
          <w:tcPr>
            <w:tcW w:w="1298" w:type="dxa"/>
            <w:tcBorders/>
            <w:shd w:fill="CED7E7" w:val="clear"/>
            <w:vAlign w:val="bottom"/>
          </w:tcPr>
          <w:p>
            <w:pPr>
              <w:pStyle w:val="Normal"/>
              <w:rPr/>
            </w:pPr>
            <w:r>
              <w:rPr/>
            </w:r>
          </w:p>
        </w:tc>
        <w:tc>
          <w:tcPr>
            <w:tcW w:w="8745" w:type="dxa"/>
            <w:gridSpan w:val="3"/>
            <w:tcBorders/>
            <w:shd w:fill="CED7E7" w:val="clear"/>
            <w:vAlign w:val="bottom"/>
          </w:tcPr>
          <w:p>
            <w:pPr>
              <w:pStyle w:val="Tabelinhoud"/>
              <w:spacing w:lineRule="auto" w:line="240"/>
              <w:jc w:val="both"/>
              <w:rPr/>
            </w:pPr>
            <w:r>
              <w:rPr>
                <w:b/>
                <w:bCs/>
                <w:sz w:val="36"/>
                <w:szCs w:val="36"/>
                <w:lang w:val="nl-NL"/>
              </w:rPr>
              <w:t>ITK self-reflection for FSR’s</w:t>
            </w:r>
          </w:p>
        </w:tc>
      </w:tr>
      <w:tr>
        <w:trPr>
          <w:trHeight w:val="441" w:hRule="atLeast"/>
        </w:trPr>
        <w:tc>
          <w:tcPr>
            <w:tcW w:w="1298" w:type="dxa"/>
            <w:tcBorders/>
            <w:shd w:fill="CED7E7" w:val="clear"/>
            <w:vAlign w:val="bottom"/>
          </w:tcPr>
          <w:p>
            <w:pPr>
              <w:pStyle w:val="InfoLabel"/>
              <w:spacing w:before="0" w:after="40"/>
              <w:jc w:val="both"/>
              <w:rPr/>
            </w:pPr>
            <w:r>
              <w:rPr>
                <w:lang w:val="nl-NL"/>
              </w:rPr>
              <w:t>Status</w:t>
            </w:r>
          </w:p>
        </w:tc>
        <w:tc>
          <w:tcPr>
            <w:tcW w:w="3217" w:type="dxa"/>
            <w:tcBorders/>
            <w:shd w:fill="CED7E7" w:val="clear"/>
            <w:vAlign w:val="bottom"/>
          </w:tcPr>
          <w:p>
            <w:pPr>
              <w:pStyle w:val="Tabelinhoud"/>
              <w:jc w:val="both"/>
              <w:rPr/>
            </w:pPr>
            <w:r>
              <w:rPr>
                <w:lang w:val="nl-NL"/>
              </w:rPr>
              <w:t xml:space="preserve">Informing/discussing/asking for input </w:t>
            </w:r>
          </w:p>
        </w:tc>
        <w:tc>
          <w:tcPr>
            <w:tcW w:w="2418" w:type="dxa"/>
            <w:tcBorders/>
            <w:shd w:fill="CED7E7" w:val="clear"/>
            <w:vAlign w:val="bottom"/>
          </w:tcPr>
          <w:p>
            <w:pPr>
              <w:pStyle w:val="Normal"/>
              <w:rPr/>
            </w:pPr>
            <w:r>
              <w:rPr/>
            </w:r>
          </w:p>
        </w:tc>
        <w:tc>
          <w:tcPr>
            <w:tcW w:w="3110" w:type="dxa"/>
            <w:tcBorders/>
            <w:shd w:fill="CED7E7" w:val="clear"/>
            <w:vAlign w:val="bottom"/>
          </w:tcPr>
          <w:p>
            <w:pPr>
              <w:pStyle w:val="Tabelinhoud"/>
              <w:jc w:val="both"/>
              <w:rPr/>
            </w:pPr>
            <w:r>
              <w:rPr>
                <w:lang w:val="nl-NL"/>
              </w:rPr>
              <w:t xml:space="preserve">Mees van Rees </w:t>
            </w:r>
          </w:p>
        </w:tc>
      </w:tr>
    </w:tbl>
    <w:p>
      <w:pPr>
        <w:pStyle w:val="Body"/>
        <w:widowControl w:val="false"/>
        <w:spacing w:lineRule="auto" w:line="240"/>
        <w:rPr/>
      </w:pPr>
      <w:r>
        <w:rPr/>
      </w:r>
    </w:p>
    <w:p>
      <w:pPr>
        <w:pStyle w:val="Heading"/>
        <w:jc w:val="both"/>
        <w:rPr/>
      </w:pPr>
      <w:r>
        <w:rPr>
          <w:lang w:val="nl-NL"/>
        </w:rPr>
        <w:t>Inleiding</w:t>
      </w:r>
    </w:p>
    <w:p>
      <w:pPr>
        <w:pStyle w:val="Body"/>
        <w:jc w:val="both"/>
        <w:rPr>
          <w:lang w:val="en-US"/>
        </w:rPr>
      </w:pPr>
      <w:r>
        <w:rPr>
          <w:lang w:val="en-US"/>
        </w:rPr>
      </w:r>
    </w:p>
    <w:p>
      <w:pPr>
        <w:pStyle w:val="Body"/>
        <w:jc w:val="both"/>
        <w:rPr/>
      </w:pPr>
      <w:r>
        <w:rPr>
          <w:lang w:val="en-US"/>
        </w:rPr>
        <w:t xml:space="preserve">The Instellingstoets kwaliteitszorg (ITK) is 6-yearly check on the way quality is ensured at Dutch universities. A panel visits the university and talks to different policy makers, employees and students. If a university does not pass the ITK, or receives bad feedback on certain topics, the </w:t>
      </w:r>
      <w:r>
        <w:rPr>
          <w:rFonts w:eastAsia="Cambria" w:cs="Cambria"/>
          <w:i/>
          <w:iCs/>
          <w:lang w:val="en-US"/>
        </w:rPr>
        <w:t>onderwijsinspectie</w:t>
      </w:r>
      <w:r>
        <w:rPr>
          <w:lang w:val="en-US"/>
        </w:rPr>
        <w:t xml:space="preserve"> (educational-inspection?) has a Grounds to investigate and supervise progress on the relevant subjects/programmes, causing a bureaucratic burden on the institution. The ITK for the UvA is Happening next November. The panel works with a guideline written by the university itself. This guideline is called the critical self-reflection and will be </w:t>
      </w:r>
      <w:r>
        <w:rPr>
          <w:rFonts w:eastAsia="Cambria" w:cs="Cambria"/>
          <w:b/>
          <w:bCs/>
          <w:lang w:val="en-US"/>
        </w:rPr>
        <w:t>send to the CSR for advice</w:t>
      </w:r>
      <w:r>
        <w:rPr>
          <w:lang w:val="en-US"/>
        </w:rPr>
        <w:t xml:space="preserve"> in the upcoming weeks. With this document I send you the latest version (0.8) of this self-reflection. I would like to ask you (the FSR’s) whether</w:t>
      </w:r>
      <w:r>
        <w:rPr>
          <w:rFonts w:eastAsia="Cambria" w:cs="Cambria"/>
          <w:b/>
          <w:bCs/>
          <w:lang w:val="en-US"/>
        </w:rPr>
        <w:t xml:space="preserve"> you agree with the analysis by the self-reflection has of how quality is assured on the UvA. </w:t>
      </w:r>
    </w:p>
    <w:p>
      <w:pPr>
        <w:pStyle w:val="Body"/>
        <w:jc w:val="both"/>
        <w:rPr/>
      </w:pPr>
      <w:r>
        <w:rPr>
          <w:lang w:val="en-US"/>
        </w:rPr>
        <w:t xml:space="preserve">This self reflection has been constructed by an external hire, Alexander Babeliowsky, with a working group including a CSR member, central policymakers and educational directors. Over the past 2 years, Alexander has reviewed what has happened with the advices of the previous ITK and has mapped everything that has happened policy-wise to increase quality assurance at the university. There has also been a meeting between Alexander Babeliowsky and the FSR’s (facilitated by Sasha Borovitskaya) to find out on which topics the reflection should be very critical, and on what topics the UvA is doing fine. </w:t>
      </w:r>
    </w:p>
    <w:p>
      <w:pPr>
        <w:pStyle w:val="Body"/>
        <w:jc w:val="both"/>
        <w:rPr/>
      </w:pPr>
      <w:r>
        <w:rPr>
          <w:lang w:val="en-US"/>
        </w:rPr>
        <w:t xml:space="preserve">Note that the self-reflection has to be critical enough for the panel to trust it, but that it can also trigger the panel to become overly critical, scrutinising very specific areas of the institution. This can cause a lot of bureaucratic stress for the UvA. Alexanders’ goal is to make the UvA pass the ITK, and he genuinely believes not passing the ITK has more negative effects for the UvA than being overly critical and not passing the ITK. </w:t>
      </w:r>
    </w:p>
    <w:p>
      <w:pPr>
        <w:pStyle w:val="Body"/>
        <w:jc w:val="both"/>
        <w:rPr/>
      </w:pPr>
      <w:r>
        <w:rPr>
          <w:lang w:val="en-US"/>
        </w:rPr>
        <w:t xml:space="preserve">Alexander helps multiple universities pass the ITK and brings up Wageningen University quite often. In Wageningen, the </w:t>
      </w:r>
      <w:r>
        <w:rPr>
          <w:rFonts w:eastAsia="Cambria" w:cs="Cambria"/>
          <w:i/>
          <w:iCs/>
          <w:lang w:val="en-US"/>
        </w:rPr>
        <w:t>medezeggenschap</w:t>
      </w:r>
      <w:r>
        <w:rPr>
          <w:lang w:val="en-US"/>
        </w:rPr>
        <w:t xml:space="preserve"> used their influence to make the self-reflection more critical than the policymakers and Alexander desired, resulting in the panel becoming suspicious and causing a lot of bureaucratic burden. Because of the trouble that comes with this, in Alexanders opinion, it would be wise to not advise negatively on the self-reflection (surprise).</w:t>
      </w:r>
    </w:p>
    <w:p>
      <w:pPr>
        <w:pStyle w:val="Body"/>
        <w:jc w:val="both"/>
        <w:rPr/>
      </w:pPr>
      <w:r>
        <w:rPr>
          <w:lang w:val="en-US"/>
        </w:rPr>
        <w:t xml:space="preserve">At a lovely University called the VU, some students decided to plan a protest during their last ITK in 2013. According to Alexander, this caused the panel to become very suspicious since students were protesting for the quality of their education, and the panel was investigating the way this is assured at the university; they eventually decided to put certain courses of the VU under supervision. The UvA has no clear plan how to deal with </w:t>
      </w:r>
      <w:r>
        <w:rPr>
          <w:rFonts w:eastAsia="Cambria" w:cs="Cambria"/>
          <w:i/>
          <w:iCs/>
          <w:u w:val="single" w:color="00000A"/>
          <w:lang w:val="en-US"/>
        </w:rPr>
        <w:t>possible</w:t>
      </w:r>
      <w:r>
        <w:rPr>
          <w:rFonts w:eastAsia="Cambria" w:cs="Cambria"/>
          <w:i/>
          <w:iCs/>
          <w:lang w:val="en-US"/>
        </w:rPr>
        <w:t xml:space="preserve"> </w:t>
      </w:r>
      <w:r>
        <w:rPr>
          <w:lang w:val="en-US"/>
        </w:rPr>
        <w:t xml:space="preserve">protests during the ITK visits in November. </w:t>
      </w:r>
    </w:p>
    <w:p>
      <w:pPr>
        <w:pStyle w:val="Heading"/>
        <w:jc w:val="both"/>
        <w:rPr/>
      </w:pPr>
      <w:r>
        <w:rPr>
          <w:lang w:val="nl-NL"/>
        </w:rPr>
        <w:t>Status</w:t>
      </w:r>
    </w:p>
    <w:p>
      <w:pPr>
        <w:pStyle w:val="Body"/>
        <w:jc w:val="both"/>
        <w:rPr/>
      </w:pPr>
      <w:r>
        <w:rPr>
          <w:lang w:val="en-US"/>
        </w:rPr>
        <w:t xml:space="preserve">For the international councils and for the convenience of everyone that is not willing to read the 59-page self-reflection, I have written an English summary of the self-reflection.  I hope it helps. Also, the reflection is still lacking examples on  the topics it addresses; Alexander is currently working on this. </w:t>
      </w:r>
    </w:p>
    <w:p>
      <w:pPr>
        <w:pStyle w:val="Body"/>
        <w:jc w:val="both"/>
        <w:rPr/>
      </w:pPr>
      <w:r>
        <w:rPr>
          <w:lang w:val="en-US"/>
        </w:rPr>
        <w:t xml:space="preserve"> </w:t>
      </w:r>
      <w:r>
        <w:rPr>
          <w:lang w:val="en-US"/>
        </w:rPr>
        <w:t>The reflection consists of:</w:t>
      </w:r>
    </w:p>
    <w:p>
      <w:pPr>
        <w:pStyle w:val="Body"/>
        <w:jc w:val="both"/>
        <w:rPr/>
      </w:pPr>
      <w:r>
        <w:rPr>
          <w:rFonts w:eastAsia="Cambria" w:cs="Cambria"/>
          <w:b/>
          <w:bCs/>
          <w:lang w:val="en-US"/>
        </w:rPr>
        <w:t>-An introduction outlining general affairs (like our relation to the VU, the follow-up to the occupation of 2014)</w:t>
      </w:r>
    </w:p>
    <w:p>
      <w:pPr>
        <w:pStyle w:val="Body"/>
        <w:jc w:val="both"/>
        <w:rPr>
          <w:rFonts w:ascii="Cambria" w:hAnsi="Cambria" w:eastAsia="Cambria" w:cs="Cambria"/>
          <w:b/>
          <w:b/>
          <w:bCs/>
        </w:rPr>
      </w:pPr>
      <w:r>
        <w:rPr>
          <w:rFonts w:eastAsia="Cambria" w:cs="Cambria"/>
          <w:b/>
          <w:bCs/>
          <w:lang w:val="en-US"/>
        </w:rPr>
        <w:t>1. Vision and policy</w:t>
      </w:r>
    </w:p>
    <w:p>
      <w:pPr>
        <w:pStyle w:val="Body"/>
        <w:jc w:val="both"/>
        <w:rPr>
          <w:rFonts w:ascii="Cambria" w:hAnsi="Cambria" w:eastAsia="Cambria" w:cs="Cambria"/>
          <w:b/>
          <w:b/>
          <w:bCs/>
        </w:rPr>
      </w:pPr>
      <w:r>
        <w:rPr>
          <w:rFonts w:eastAsia="Cambria" w:cs="Cambria"/>
          <w:b/>
          <w:bCs/>
          <w:lang w:val="en-US"/>
        </w:rPr>
        <w:t>2. Implementation of policy</w:t>
      </w:r>
    </w:p>
    <w:p>
      <w:pPr>
        <w:pStyle w:val="Body"/>
        <w:jc w:val="both"/>
        <w:rPr>
          <w:rFonts w:ascii="Cambria" w:hAnsi="Cambria" w:eastAsia="Cambria" w:cs="Cambria"/>
          <w:b/>
          <w:b/>
          <w:bCs/>
        </w:rPr>
      </w:pPr>
      <w:r>
        <w:rPr>
          <w:rFonts w:eastAsia="Cambria" w:cs="Cambria"/>
          <w:b/>
          <w:bCs/>
          <w:lang w:val="en-US"/>
        </w:rPr>
        <w:t>3. Evaluation and monitoring</w:t>
      </w:r>
    </w:p>
    <w:p>
      <w:pPr>
        <w:pStyle w:val="Body"/>
        <w:jc w:val="both"/>
        <w:rPr>
          <w:rFonts w:ascii="Cambria" w:hAnsi="Cambria" w:eastAsia="Cambria" w:cs="Cambria"/>
          <w:b/>
          <w:b/>
          <w:bCs/>
        </w:rPr>
      </w:pPr>
      <w:r>
        <w:rPr>
          <w:rFonts w:eastAsia="Cambria" w:cs="Cambria"/>
          <w:b/>
          <w:bCs/>
          <w:lang w:val="en-US"/>
        </w:rPr>
        <w:t>4. Development</w:t>
      </w:r>
    </w:p>
    <w:p>
      <w:pPr>
        <w:pStyle w:val="Body"/>
        <w:jc w:val="both"/>
        <w:rPr/>
      </w:pPr>
      <w:r>
        <w:rPr>
          <w:rFonts w:eastAsia="Cambria" w:cs="Cambria"/>
          <w:b/>
          <w:bCs/>
          <w:lang w:val="en-US"/>
        </w:rPr>
        <w:t>5. Appendices (policy- and data documents, currently under construction)</w:t>
      </w:r>
    </w:p>
    <w:p>
      <w:pPr>
        <w:pStyle w:val="Body"/>
        <w:jc w:val="both"/>
        <w:rPr/>
      </w:pPr>
      <w:r>
        <w:rPr>
          <w:lang w:val="en-US"/>
        </w:rPr>
        <w:t xml:space="preserve">(every chapter has a </w:t>
      </w:r>
      <w:r>
        <w:rPr>
          <w:lang w:val="en-US"/>
        </w:rPr>
        <w:t>section detailing</w:t>
      </w:r>
      <w:r>
        <w:rPr>
          <w:lang w:val="en-US"/>
        </w:rPr>
        <w:t xml:space="preserve"> relevant subjects, followed by a reflection </w:t>
      </w:r>
      <w:r>
        <w:rPr>
          <w:rFonts w:eastAsia="Cambria" w:cs="Cambria"/>
          <w:i/>
          <w:iCs/>
          <w:lang w:val="en-US"/>
        </w:rPr>
        <w:t xml:space="preserve">(reflectie op standaard…) </w:t>
      </w:r>
      <w:r>
        <w:rPr>
          <w:lang w:val="en-US"/>
        </w:rPr>
        <w:t xml:space="preserve">giving critical remarks on the subjects addressed in the respective..? </w:t>
      </w:r>
    </w:p>
    <w:p>
      <w:pPr>
        <w:pStyle w:val="Body"/>
        <w:jc w:val="both"/>
        <w:rPr>
          <w:rFonts w:ascii="Cambria" w:hAnsi="Cambria" w:eastAsia="Cambria" w:cs="Cambria"/>
          <w:b/>
          <w:b/>
          <w:bCs/>
        </w:rPr>
      </w:pPr>
      <w:r>
        <w:rPr>
          <w:rFonts w:eastAsia="Cambria" w:cs="Cambria"/>
          <w:b/>
          <w:bCs/>
          <w:lang w:val="en-US"/>
        </w:rPr>
        <w:t xml:space="preserve">Introduction: </w:t>
      </w:r>
    </w:p>
    <w:p>
      <w:pPr>
        <w:pStyle w:val="Body"/>
        <w:jc w:val="both"/>
        <w:rPr/>
      </w:pPr>
      <w:r>
        <w:rPr>
          <w:lang w:val="en-US"/>
        </w:rPr>
        <w:t xml:space="preserve">The introduction contains general facts about the university, and states that decentral decision making is a key element of the way the UvA works. It goes on about everything that has happened at the UvA since the last ITK, being the whole occupation thing, switching of boards, switching of RvT, the ten-point plan (and all commissions), the continuing decrease of funding from the government and  the appointment of a central student assessor. This is not the most exciting chapter, since it is merely stating facts. </w:t>
      </w:r>
    </w:p>
    <w:p>
      <w:pPr>
        <w:pStyle w:val="Body"/>
        <w:jc w:val="both"/>
        <w:rPr/>
      </w:pPr>
      <w:r>
        <w:rPr>
          <w:lang w:val="en-US"/>
        </w:rPr>
        <w:t xml:space="preserve">The only juicy thing is that the UCO wanted a positive note in there, which is why Alexander took up a small paragraph on the rankings (see page 7). </w:t>
      </w:r>
    </w:p>
    <w:p>
      <w:pPr>
        <w:pStyle w:val="Body"/>
        <w:jc w:val="both"/>
        <w:rPr>
          <w:rFonts w:ascii="Cambria" w:hAnsi="Cambria" w:eastAsia="Cambria" w:cs="Cambria"/>
          <w:b/>
          <w:b/>
          <w:bCs/>
        </w:rPr>
      </w:pPr>
      <w:r>
        <w:rPr>
          <w:rFonts w:eastAsia="Cambria" w:cs="Cambria"/>
          <w:b/>
          <w:bCs/>
          <w:lang w:val="en-US"/>
        </w:rPr>
        <w:t>Chapter 1</w:t>
      </w:r>
    </w:p>
    <w:p>
      <w:pPr>
        <w:pStyle w:val="TextBody"/>
        <w:jc w:val="both"/>
        <w:rPr/>
      </w:pPr>
      <w:r>
        <w:rPr>
          <w:rFonts w:eastAsia="Caladea" w:cs="Caladea" w:ascii="Caladea" w:hAnsi="Caladea"/>
          <w:color w:val="000007"/>
          <w:sz w:val="20"/>
          <w:szCs w:val="20"/>
          <w:u w:val="none" w:color="000007"/>
          <w:lang w:val="en-US"/>
        </w:rPr>
        <w:t xml:space="preserve">Chapter 1  how policy is formed on the basis of the </w:t>
      </w:r>
      <w:r>
        <w:rPr>
          <w:rFonts w:eastAsia="Caladea" w:cs="Caladea" w:ascii="Caladea" w:hAnsi="Caladea"/>
          <w:i/>
          <w:iCs/>
          <w:color w:val="000007"/>
          <w:sz w:val="20"/>
          <w:szCs w:val="20"/>
          <w:u w:val="none" w:color="000007"/>
          <w:lang w:val="en-US"/>
        </w:rPr>
        <w:t>onderwijsvisie</w:t>
      </w:r>
      <w:r>
        <w:rPr>
          <w:rFonts w:eastAsia="Caladea" w:cs="Caladea" w:ascii="Caladea" w:hAnsi="Caladea"/>
          <w:color w:val="000007"/>
          <w:sz w:val="20"/>
          <w:szCs w:val="20"/>
          <w:u w:val="none" w:color="000007"/>
          <w:lang w:val="en-US"/>
        </w:rPr>
        <w:t xml:space="preserve">. It goes through a range of topics like </w:t>
      </w:r>
      <w:r>
        <w:rPr>
          <w:rFonts w:eastAsia="Caladea" w:cs="Caladea" w:ascii="Caladea" w:hAnsi="Caladea"/>
          <w:i/>
          <w:iCs/>
          <w:color w:val="000007"/>
          <w:sz w:val="20"/>
          <w:szCs w:val="20"/>
          <w:u w:val="none" w:color="000007"/>
          <w:lang w:val="en-US"/>
        </w:rPr>
        <w:t>Studiesucces</w:t>
      </w:r>
      <w:r>
        <w:rPr>
          <w:rFonts w:eastAsia="Caladea" w:cs="Caladea" w:ascii="Caladea" w:hAnsi="Caladea"/>
          <w:color w:val="000007"/>
          <w:sz w:val="20"/>
          <w:szCs w:val="20"/>
          <w:u w:val="none" w:color="000007"/>
          <w:lang w:val="en-US"/>
        </w:rPr>
        <w:t xml:space="preserve">, Blended Learning, Linking research and education, accessibility and the general workings of the PCDA (Plan Check Do Act, it is explained in this chapter as well) cycles on the UvA. </w:t>
      </w:r>
    </w:p>
    <w:p>
      <w:pPr>
        <w:pStyle w:val="TextBody"/>
        <w:jc w:val="both"/>
        <w:rPr/>
      </w:pPr>
      <w:r>
        <w:rPr>
          <w:rFonts w:eastAsia="Caladea" w:cs="Caladea" w:ascii="Caladea" w:hAnsi="Caladea"/>
          <w:color w:val="000007"/>
          <w:sz w:val="20"/>
          <w:szCs w:val="20"/>
          <w:u w:val="none" w:color="000007"/>
          <w:lang w:val="en-US"/>
        </w:rPr>
        <w:t>A paragraph on diversity has been added in the latest version (page 18/19 marked green). The current discussion about Anne de Graaff has explicitly not been taken up in the Reflection. The CSR also proposed including a sentence on the way faculty diversity programs are having some problems; this does not seem to be in there as of now, and will be taken into account in our advice.</w:t>
      </w:r>
    </w:p>
    <w:p>
      <w:pPr>
        <w:pStyle w:val="TextBody"/>
        <w:jc w:val="both"/>
        <w:rPr/>
      </w:pPr>
      <w:r>
        <w:rPr>
          <w:rFonts w:eastAsia="Caladea" w:cs="Caladea" w:ascii="Caladea" w:hAnsi="Caladea"/>
          <w:b/>
          <w:bCs/>
          <w:color w:val="000007"/>
          <w:sz w:val="20"/>
          <w:szCs w:val="20"/>
          <w:u w:val="none" w:color="000007"/>
          <w:lang w:val="en-US"/>
        </w:rPr>
        <w:t xml:space="preserve">Reflection </w:t>
      </w:r>
      <w:r>
        <w:rPr>
          <w:rFonts w:eastAsia="Caladea" w:cs="Caladea" w:ascii="Caladea" w:hAnsi="Caladea"/>
          <w:color w:val="000007"/>
          <w:sz w:val="20"/>
          <w:szCs w:val="20"/>
          <w:u w:val="none" w:color="000007"/>
          <w:lang w:val="en-US"/>
        </w:rPr>
        <w:t xml:space="preserve">states how happy we are with the way the </w:t>
      </w:r>
      <w:r>
        <w:rPr>
          <w:rFonts w:eastAsia="Caladea" w:cs="Caladea" w:ascii="Caladea" w:hAnsi="Caladea"/>
          <w:i/>
          <w:iCs/>
          <w:color w:val="000007"/>
          <w:sz w:val="20"/>
          <w:szCs w:val="20"/>
          <w:u w:val="none" w:color="000007"/>
          <w:lang w:val="en-US"/>
        </w:rPr>
        <w:t>onderwijsvisie</w:t>
      </w:r>
      <w:r>
        <w:rPr>
          <w:rFonts w:eastAsia="Caladea" w:cs="Caladea" w:ascii="Caladea" w:hAnsi="Caladea"/>
          <w:color w:val="000007"/>
          <w:sz w:val="20"/>
          <w:szCs w:val="20"/>
          <w:u w:val="none" w:color="000007"/>
          <w:lang w:val="en-US"/>
        </w:rPr>
        <w:t xml:space="preserve"> has been revised — that all relevant factors (i.e. the </w:t>
      </w:r>
      <w:r>
        <w:rPr>
          <w:rFonts w:eastAsia="Caladea" w:cs="Caladea" w:ascii="Caladea" w:hAnsi="Caladea"/>
          <w:i/>
          <w:iCs/>
          <w:color w:val="000007"/>
          <w:sz w:val="20"/>
          <w:szCs w:val="20"/>
          <w:u w:val="none" w:color="000007"/>
          <w:lang w:val="en-US"/>
        </w:rPr>
        <w:t>medezggenschap</w:t>
      </w:r>
      <w:r>
        <w:rPr>
          <w:rFonts w:eastAsia="Caladea" w:cs="Caladea" w:ascii="Caladea" w:hAnsi="Caladea"/>
          <w:color w:val="000007"/>
          <w:sz w:val="20"/>
          <w:szCs w:val="20"/>
          <w:u w:val="none" w:color="000007"/>
          <w:lang w:val="en-US"/>
        </w:rPr>
        <w:t xml:space="preserve"> and the municipality) have been involved timely and that the ambitions from the onderwijsvisie have been properly anchored in policy. It also states the onderwijsvisie is not static and a midterm review is underway. A summary of the onderwijsvisie is given and certain topics are Highlighted </w:t>
      </w:r>
    </w:p>
    <w:p>
      <w:pPr>
        <w:pStyle w:val="TextBody"/>
        <w:jc w:val="both"/>
        <w:rPr/>
      </w:pPr>
      <w:r>
        <w:rPr>
          <w:rFonts w:eastAsia="Caladea" w:cs="Caladea" w:ascii="Caladea" w:hAnsi="Caladea"/>
          <w:color w:val="000007"/>
          <w:sz w:val="20"/>
          <w:szCs w:val="20"/>
          <w:u w:val="none" w:color="000007"/>
          <w:lang w:val="en-US"/>
        </w:rPr>
        <w:t xml:space="preserve">Regarding </w:t>
      </w:r>
      <w:r>
        <w:rPr>
          <w:rFonts w:eastAsia="Caladea" w:cs="Caladea" w:ascii="Caladea" w:hAnsi="Caladea"/>
          <w:i/>
          <w:iCs/>
          <w:color w:val="000007"/>
          <w:sz w:val="20"/>
          <w:szCs w:val="20"/>
          <w:u w:val="none" w:color="000007"/>
          <w:lang w:val="en-US"/>
        </w:rPr>
        <w:t>studysucces,</w:t>
      </w:r>
      <w:r>
        <w:rPr>
          <w:rFonts w:eastAsia="Caladea" w:cs="Caladea" w:ascii="Caladea" w:hAnsi="Caladea"/>
          <w:color w:val="000007"/>
          <w:sz w:val="20"/>
          <w:szCs w:val="20"/>
          <w:u w:val="none" w:color="000007"/>
          <w:lang w:val="en-US"/>
        </w:rPr>
        <w:t xml:space="preserve"> the reflection points out it is a continuous point of attention, details arising problems and gives examples of how the studysucces reports have been implemented and have flexibilised 884 for instance. According to the UvA, we want to focus more on the qualitative and less on the quantitative side of </w:t>
      </w:r>
      <w:r>
        <w:rPr>
          <w:rFonts w:eastAsia="Caladea" w:cs="Caladea" w:ascii="Caladea" w:hAnsi="Caladea"/>
          <w:i/>
          <w:iCs/>
          <w:color w:val="000007"/>
          <w:sz w:val="20"/>
          <w:szCs w:val="20"/>
          <w:u w:val="none" w:color="000007"/>
          <w:lang w:val="en-US"/>
        </w:rPr>
        <w:t xml:space="preserve">studysucces </w:t>
      </w:r>
      <w:r>
        <w:rPr>
          <w:rFonts w:eastAsia="Caladea" w:cs="Caladea" w:ascii="Caladea" w:hAnsi="Caladea"/>
          <w:color w:val="000007"/>
          <w:sz w:val="20"/>
          <w:szCs w:val="20"/>
          <w:u w:val="none" w:color="000007"/>
          <w:lang w:val="en-US"/>
        </w:rPr>
        <w:t xml:space="preserve">in the coming years. It also states that the quantitative goals have not been reached; they phrase this quite subtly. </w:t>
      </w:r>
    </w:p>
    <w:p>
      <w:pPr>
        <w:pStyle w:val="TextBody"/>
        <w:jc w:val="both"/>
        <w:rPr/>
      </w:pPr>
      <w:r>
        <w:rPr>
          <w:rFonts w:eastAsia="Caladea" w:cs="Caladea" w:ascii="Caladea" w:hAnsi="Caladea"/>
          <w:color w:val="000007"/>
          <w:sz w:val="20"/>
          <w:szCs w:val="20"/>
          <w:u w:val="none" w:color="000007"/>
          <w:lang w:val="en-US"/>
        </w:rPr>
        <w:t xml:space="preserve">Regarding internationalisation, it says that we need to find a sustainable balance in becoming a bilingual integrated university. The focus will be on three levels: balance between Dutch and International students, balance between Dutch and English facilitation and balance Dutch and English courses. </w:t>
      </w:r>
    </w:p>
    <w:p>
      <w:pPr>
        <w:pStyle w:val="TextBody"/>
        <w:jc w:val="both"/>
        <w:rPr/>
      </w:pPr>
      <w:r>
        <w:rPr>
          <w:color w:val="000007"/>
          <w:u w:val="none" w:color="000007"/>
          <w:lang w:val="en-US"/>
        </w:rPr>
        <w:t>Regarding</w:t>
      </w:r>
      <w:r>
        <w:rPr>
          <w:rFonts w:eastAsia="Caladea" w:cs="Caladea" w:ascii="Caladea" w:hAnsi="Caladea"/>
          <w:color w:val="000007"/>
          <w:sz w:val="20"/>
          <w:szCs w:val="20"/>
          <w:u w:val="none" w:color="000007"/>
          <w:lang w:val="en-US"/>
        </w:rPr>
        <w:t xml:space="preserve"> internationalisation, the reflection mostly names the positives sides (3</w:t>
      </w:r>
      <w:r>
        <w:rPr>
          <w:rFonts w:eastAsia="Caladea" w:cs="Caladea" w:ascii="Caladea" w:hAnsi="Caladea"/>
          <w:color w:val="000007"/>
          <w:sz w:val="20"/>
          <w:szCs w:val="20"/>
          <w:u w:val="none" w:color="000007"/>
          <w:vertAlign w:val="superscript"/>
          <w:lang w:val="en-US"/>
        </w:rPr>
        <w:t>rd</w:t>
      </w:r>
      <w:r>
        <w:rPr>
          <w:rFonts w:eastAsia="Caladea" w:cs="Caladea" w:ascii="Caladea" w:hAnsi="Caladea"/>
          <w:color w:val="000007"/>
          <w:sz w:val="20"/>
          <w:szCs w:val="20"/>
          <w:u w:val="none" w:color="000007"/>
          <w:lang w:val="en-US"/>
        </w:rPr>
        <w:t xml:space="preserve"> paragraph, page 29). After the question of this being too positive was raised, a few sentences on balancing the effects of internationalization.</w:t>
      </w:r>
    </w:p>
    <w:p>
      <w:pPr>
        <w:pStyle w:val="TextBody"/>
        <w:jc w:val="both"/>
        <w:rPr/>
      </w:pPr>
      <w:r>
        <w:rPr>
          <w:i/>
          <w:iCs/>
          <w:color w:val="000007"/>
          <w:u w:val="none" w:color="000007"/>
          <w:lang w:val="en-US"/>
        </w:rPr>
        <w:t>An e</w:t>
      </w:r>
      <w:r>
        <w:rPr>
          <w:rFonts w:eastAsia="Caladea" w:cs="Caladea" w:ascii="Caladea" w:hAnsi="Caladea"/>
          <w:i/>
          <w:iCs/>
          <w:color w:val="000007"/>
          <w:sz w:val="20"/>
          <w:szCs w:val="20"/>
          <w:u w:val="none" w:color="000007"/>
          <w:lang w:val="en-US"/>
        </w:rPr>
        <w:t>xplicit point of attention</w:t>
      </w:r>
      <w:r>
        <w:rPr>
          <w:rFonts w:eastAsia="Caladea" w:cs="Caladea" w:ascii="Caladea" w:hAnsi="Caladea"/>
          <w:color w:val="000007"/>
          <w:sz w:val="20"/>
          <w:szCs w:val="20"/>
          <w:u w:val="none" w:color="000007"/>
          <w:lang w:val="en-US"/>
        </w:rPr>
        <w:t>, the last paragraph on page 29 was written by me, and states the amount of effort Student councils have to put into getting information. If you have had debates about this topic, please include them in your response.</w:t>
      </w:r>
    </w:p>
    <w:p>
      <w:pPr>
        <w:pStyle w:val="TextBody"/>
        <w:jc w:val="both"/>
        <w:rPr>
          <w:rFonts w:ascii="Caladea" w:hAnsi="Caladea" w:eastAsia="Caladea" w:cs="Caladea"/>
          <w:color w:val="000007"/>
          <w:sz w:val="20"/>
          <w:szCs w:val="20"/>
          <w:u w:val="none" w:color="000007"/>
        </w:rPr>
      </w:pPr>
      <w:r>
        <w:rPr>
          <w:rFonts w:eastAsia="Caladea" w:cs="Caladea" w:ascii="Caladea" w:hAnsi="Caladea"/>
          <w:color w:val="000007"/>
          <w:sz w:val="20"/>
          <w:szCs w:val="20"/>
          <w:u w:val="none" w:color="000007"/>
        </w:rPr>
      </w:r>
    </w:p>
    <w:p>
      <w:pPr>
        <w:pStyle w:val="TextBody"/>
        <w:jc w:val="both"/>
        <w:rPr/>
      </w:pPr>
      <w:r>
        <w:rPr>
          <w:rFonts w:eastAsia="Caladea" w:cs="Caladea" w:ascii="Caladea" w:hAnsi="Caladea"/>
          <w:b/>
          <w:bCs/>
          <w:color w:val="000007"/>
          <w:sz w:val="20"/>
          <w:szCs w:val="20"/>
          <w:u w:val="none" w:color="000007"/>
          <w:lang w:val="en-US"/>
        </w:rPr>
        <w:t xml:space="preserve">Chapter 2:  </w:t>
      </w:r>
      <w:r>
        <w:rPr>
          <w:rFonts w:eastAsia="Caladea" w:cs="Caladea" w:ascii="Caladea" w:hAnsi="Caladea"/>
          <w:color w:val="000007"/>
          <w:sz w:val="20"/>
          <w:szCs w:val="20"/>
          <w:u w:val="none" w:color="000007"/>
          <w:lang w:val="en-US"/>
        </w:rPr>
        <w:t xml:space="preserve">This chapter goes on about personnel and exam policy, facilities and functional limitations. On all of these subjects it states more or less what is being done now, with the occasional “we’re doing okay”, “we find this important” or “we need to put more focus on this”. Regarding personnel (page 31), it states the existence of the strategic HR agenda, an ambition to get to a good balance between education and research (this stays vague) and states the existence of the diversity officer. On examination (page 32) it states we are revising the </w:t>
      </w:r>
      <w:r>
        <w:rPr>
          <w:rFonts w:eastAsia="Caladea" w:cs="Caladea" w:ascii="Caladea" w:hAnsi="Caladea"/>
          <w:i/>
          <w:iCs/>
          <w:color w:val="000007"/>
          <w:sz w:val="20"/>
          <w:szCs w:val="20"/>
          <w:u w:val="none" w:color="000007"/>
          <w:lang w:val="en-US"/>
        </w:rPr>
        <w:t xml:space="preserve">kader-toetsbeleid </w:t>
      </w:r>
      <w:r>
        <w:rPr>
          <w:rFonts w:eastAsia="Caladea" w:cs="Caladea" w:ascii="Caladea" w:hAnsi="Caladea"/>
          <w:color w:val="000007"/>
          <w:sz w:val="20"/>
          <w:szCs w:val="20"/>
          <w:u w:val="none" w:color="000007"/>
          <w:lang w:val="en-US"/>
        </w:rPr>
        <w:t>and the requirements the UvA has for exam committees. Regarding functional limitation, it states the “</w:t>
      </w:r>
      <w:r>
        <w:rPr>
          <w:rFonts w:eastAsia="Caladea" w:cs="Caladea" w:ascii="Caladea" w:hAnsi="Caladea"/>
          <w:i/>
          <w:iCs/>
          <w:color w:val="000007"/>
          <w:sz w:val="20"/>
          <w:szCs w:val="20"/>
          <w:u w:val="none" w:color="000007"/>
          <w:lang w:val="en-US"/>
        </w:rPr>
        <w:t xml:space="preserve">accessibility-scan” </w:t>
      </w:r>
      <w:r>
        <w:rPr>
          <w:rFonts w:eastAsia="Caladea" w:cs="Caladea" w:ascii="Caladea" w:hAnsi="Caladea"/>
          <w:color w:val="000007"/>
          <w:sz w:val="20"/>
          <w:szCs w:val="20"/>
          <w:u w:val="none" w:color="000007"/>
          <w:lang w:val="en-US"/>
        </w:rPr>
        <w:t xml:space="preserve">of the buildings, and the commitment of the CvB for 8 million euros and the platform that was started in the beginning of 2017. It outlines the accessibility policy that was set in 2016 as an example of what the UvA is doing on this topic.. (page 35 and top of page 36) </w:t>
      </w:r>
    </w:p>
    <w:p>
      <w:pPr>
        <w:pStyle w:val="TextBody"/>
        <w:jc w:val="both"/>
        <w:rPr/>
      </w:pPr>
      <w:r>
        <w:rPr>
          <w:rFonts w:eastAsia="Caladea" w:cs="Caladea" w:ascii="Caladea" w:hAnsi="Caladea"/>
          <w:b/>
          <w:bCs/>
          <w:color w:val="000007"/>
          <w:sz w:val="20"/>
          <w:szCs w:val="20"/>
          <w:u w:val="none" w:color="000007"/>
          <w:lang w:val="en-US"/>
        </w:rPr>
        <w:t xml:space="preserve">Reflection </w:t>
      </w:r>
      <w:r>
        <w:rPr>
          <w:rFonts w:eastAsia="Caladea" w:cs="Caladea" w:ascii="Caladea" w:hAnsi="Caladea"/>
          <w:color w:val="000007"/>
          <w:sz w:val="20"/>
          <w:szCs w:val="20"/>
          <w:u w:val="none" w:color="000007"/>
          <w:lang w:val="en-US"/>
        </w:rPr>
        <w:t xml:space="preserve">(page 36) According to the reflection, the UvA has been slacking on HR-policy. The reflection states that the new HR agenda will improve the situation. The same goes for the accessibility topics. Working pressure is branded a constant factor of attention. The cause of this heightened working pressure is a multitude of factors such as more intense external reviews, a trend towards more activating way of education and the pressure on employees to balance research and education. Not a lot is being named as a way to solve these issues, only that academic affairs makes a yearly plan to implement the ambitions of the onderwijsvisie (bottom of page 37).  </w:t>
      </w:r>
    </w:p>
    <w:p>
      <w:pPr>
        <w:pStyle w:val="TextBody"/>
        <w:jc w:val="both"/>
        <w:rPr/>
      </w:pPr>
      <w:r>
        <w:rPr>
          <w:rFonts w:eastAsia="Caladea" w:cs="Caladea" w:ascii="Caladea" w:hAnsi="Caladea"/>
          <w:color w:val="000007"/>
          <w:sz w:val="20"/>
          <w:szCs w:val="20"/>
          <w:u w:val="none" w:color="000007"/>
          <w:lang w:val="en-US"/>
        </w:rPr>
        <w:t xml:space="preserve">The last paragraph was again added by us, since student working pressure was not being taken into account. Please let me know if this is sufficient. </w:t>
      </w:r>
    </w:p>
    <w:p>
      <w:pPr>
        <w:pStyle w:val="TextBody"/>
        <w:jc w:val="both"/>
        <w:rPr>
          <w:rFonts w:ascii="Caladea" w:hAnsi="Caladea" w:eastAsia="Caladea" w:cs="Caladea"/>
          <w:b/>
          <w:b/>
          <w:bCs/>
          <w:color w:val="000007"/>
          <w:sz w:val="20"/>
          <w:szCs w:val="20"/>
          <w:u w:val="none" w:color="000007"/>
        </w:rPr>
      </w:pPr>
      <w:r>
        <w:rPr>
          <w:rFonts w:eastAsia="Caladea" w:cs="Caladea" w:ascii="Caladea" w:hAnsi="Caladea"/>
          <w:b/>
          <w:bCs/>
          <w:color w:val="000007"/>
          <w:sz w:val="20"/>
          <w:szCs w:val="20"/>
          <w:u w:val="none" w:color="000007"/>
          <w:lang w:val="en-US"/>
        </w:rPr>
        <w:t xml:space="preserve">Chapter 3: Evaluation and monitoring </w:t>
      </w:r>
    </w:p>
    <w:p>
      <w:pPr>
        <w:pStyle w:val="TextBody"/>
        <w:rPr/>
      </w:pPr>
      <w:r>
        <w:rPr>
          <w:rFonts w:eastAsia="Caladea" w:cs="Caladea" w:ascii="Caladea" w:hAnsi="Caladea"/>
          <w:b/>
          <w:bCs/>
          <w:color w:val="000007"/>
          <w:sz w:val="20"/>
          <w:szCs w:val="20"/>
          <w:u w:val="none" w:color="000007"/>
          <w:lang w:val="en-US"/>
        </w:rPr>
        <w:t xml:space="preserve">Descriptive </w:t>
      </w:r>
      <w:r>
        <w:rPr>
          <w:rFonts w:eastAsia="Caladea" w:cs="Caladea" w:ascii="Caladea" w:hAnsi="Caladea"/>
          <w:color w:val="000007"/>
          <w:sz w:val="20"/>
          <w:szCs w:val="20"/>
          <w:u w:val="none" w:color="000007"/>
          <w:lang w:val="en-US"/>
        </w:rPr>
        <w:t xml:space="preserve">chapter 3 encompasses managmen tinformation (UvAData), Accreditation, Risk analysis, evaluation and satisfaction monitoring. The UvA is praised for UvAdata all over the country, so this is the main focus of this chapter (pages 39 and 40).  It gets interesting at educational evaluations, where UvAQ is named as the primary way of evaluating courses and a description is given of how this information is used. We tried to get something in there about what OC’s are involved in the quality assurance system as we discussed this with the CvB early on in our council year, but as of now this does not seem to have made the cut. </w:t>
      </w:r>
    </w:p>
    <w:p>
      <w:pPr>
        <w:pStyle w:val="TextBody"/>
        <w:rPr/>
      </w:pPr>
      <w:r>
        <w:rPr>
          <w:rFonts w:eastAsia="Caladea" w:cs="Caladea" w:ascii="Caladea" w:hAnsi="Caladea"/>
          <w:color w:val="000007"/>
          <w:sz w:val="20"/>
          <w:szCs w:val="20"/>
          <w:u w:val="none" w:color="000007"/>
          <w:lang w:val="en-US"/>
        </w:rPr>
        <w:t>The part on the NSE and other surveys is not really negotiable to Alexander, since the NVAO committees are really keen on seeing what a university does with these.</w:t>
      </w:r>
    </w:p>
    <w:p>
      <w:pPr>
        <w:pStyle w:val="TextBody"/>
        <w:rPr/>
      </w:pPr>
      <w:r>
        <w:rPr>
          <w:rFonts w:eastAsia="Caladea" w:cs="Caladea" w:ascii="Caladea" w:hAnsi="Caladea"/>
          <w:b/>
          <w:bCs/>
          <w:color w:val="000007"/>
          <w:sz w:val="20"/>
          <w:szCs w:val="20"/>
          <w:u w:val="none" w:color="000007"/>
          <w:lang w:val="en-US"/>
        </w:rPr>
        <w:t xml:space="preserve">Reflection </w:t>
      </w:r>
      <w:r>
        <w:rPr>
          <w:rFonts w:eastAsia="Caladea" w:cs="Caladea" w:ascii="Caladea" w:hAnsi="Caladea"/>
          <w:color w:val="000007"/>
          <w:sz w:val="20"/>
          <w:szCs w:val="20"/>
          <w:u w:val="none" w:color="000007"/>
          <w:lang w:val="en-US"/>
        </w:rPr>
        <w:t xml:space="preserve">Very short summary: we are very happy about UvAdata, educational dashboards on multiple governance levels are a great idea. Not everyone was happy,  but  nowadays there’s almost no critique on the system, and it works fine. If this last sentence is not how UvAQ is handled in your faculty, please let me know. </w:t>
      </w:r>
    </w:p>
    <w:p>
      <w:pPr>
        <w:pStyle w:val="TextBody"/>
        <w:rPr>
          <w:rFonts w:ascii="Caladea" w:hAnsi="Caladea" w:eastAsia="Caladea" w:cs="Caladea"/>
          <w:color w:val="000007"/>
          <w:sz w:val="20"/>
          <w:szCs w:val="20"/>
          <w:u w:val="none" w:color="000007"/>
        </w:rPr>
      </w:pPr>
      <w:r>
        <w:rPr>
          <w:rFonts w:eastAsia="Caladea" w:cs="Caladea" w:ascii="Caladea" w:hAnsi="Caladea"/>
          <w:color w:val="000007"/>
          <w:sz w:val="20"/>
          <w:szCs w:val="20"/>
          <w:u w:val="none" w:color="000007"/>
        </w:rPr>
      </w:r>
    </w:p>
    <w:p>
      <w:pPr>
        <w:pStyle w:val="TextBody"/>
        <w:rPr/>
      </w:pPr>
      <w:r>
        <w:rPr>
          <w:rFonts w:eastAsia="Caladea" w:cs="Caladea" w:ascii="Caladea" w:hAnsi="Caladea"/>
          <w:b/>
          <w:bCs/>
          <w:color w:val="000007"/>
          <w:sz w:val="20"/>
          <w:szCs w:val="20"/>
          <w:u w:val="none" w:color="000007"/>
          <w:lang w:val="en-US"/>
        </w:rPr>
        <w:t>Chapter 4: Devolpment</w:t>
      </w:r>
    </w:p>
    <w:p>
      <w:pPr>
        <w:pStyle w:val="TextBody"/>
        <w:rPr/>
      </w:pPr>
      <w:r>
        <w:rPr>
          <w:rFonts w:eastAsia="Caladea" w:cs="Caladea" w:ascii="Caladea" w:hAnsi="Caladea"/>
          <w:b/>
          <w:bCs/>
          <w:color w:val="000007"/>
          <w:sz w:val="20"/>
          <w:szCs w:val="20"/>
          <w:u w:val="none" w:color="000007"/>
          <w:lang w:val="en-US"/>
        </w:rPr>
        <w:t xml:space="preserve">Descriptive </w:t>
      </w:r>
      <w:r>
        <w:rPr>
          <w:rFonts w:eastAsia="Caladea" w:cs="Caladea" w:ascii="Caladea" w:hAnsi="Caladea"/>
          <w:color w:val="000007"/>
          <w:sz w:val="20"/>
          <w:szCs w:val="20"/>
          <w:u w:val="none" w:color="000007"/>
          <w:lang w:val="en-US"/>
        </w:rPr>
        <w:t xml:space="preserve">This chapter describes the way agreements between the deans and the CvB are made (in </w:t>
      </w:r>
      <w:r>
        <w:rPr>
          <w:rFonts w:eastAsia="Caladea" w:cs="Caladea" w:ascii="Caladea" w:hAnsi="Caladea"/>
          <w:i/>
          <w:iCs/>
          <w:color w:val="000007"/>
          <w:sz w:val="20"/>
          <w:szCs w:val="20"/>
          <w:u w:val="none" w:color="000007"/>
          <w:lang w:val="en-US"/>
        </w:rPr>
        <w:t xml:space="preserve">Centraal bestuurlijk overleggen </w:t>
      </w:r>
      <w:r>
        <w:rPr>
          <w:rFonts w:eastAsia="Caladea" w:cs="Caladea" w:ascii="Caladea" w:hAnsi="Caladea"/>
          <w:color w:val="000007"/>
          <w:sz w:val="20"/>
          <w:szCs w:val="20"/>
          <w:u w:val="none" w:color="000007"/>
          <w:lang w:val="en-US"/>
        </w:rPr>
        <w:t xml:space="preserve"> and </w:t>
      </w:r>
      <w:r>
        <w:rPr>
          <w:rFonts w:eastAsia="Caladea" w:cs="Caladea" w:ascii="Caladea" w:hAnsi="Caladea"/>
          <w:i/>
          <w:iCs/>
          <w:color w:val="000007"/>
          <w:sz w:val="20"/>
          <w:szCs w:val="20"/>
          <w:u w:val="none" w:color="000007"/>
          <w:lang w:val="en-US"/>
        </w:rPr>
        <w:t>Centraal Periodieke overleggen</w:t>
      </w:r>
      <w:r>
        <w:rPr>
          <w:rFonts w:eastAsia="Caladea" w:cs="Caladea" w:ascii="Caladea" w:hAnsi="Caladea"/>
          <w:color w:val="000007"/>
          <w:sz w:val="20"/>
          <w:szCs w:val="20"/>
          <w:u w:val="none" w:color="000007"/>
          <w:lang w:val="en-US"/>
        </w:rPr>
        <w:t>) and how they are monitored (again proudly displaying UvAdata). On our account, a paragraph on the involvement of OC’s has been added (page 45 under 4.4), although it did not contain the critical notes I suggested.  The process of how the ITK was handled and how the NSE is being accounted for is further discussed.</w:t>
      </w:r>
    </w:p>
    <w:p>
      <w:pPr>
        <w:pStyle w:val="TextBody"/>
        <w:rPr/>
      </w:pPr>
      <w:r>
        <w:rPr>
          <w:rFonts w:eastAsia="Caladea" w:cs="Caladea" w:ascii="Caladea" w:hAnsi="Caladea"/>
          <w:color w:val="000007"/>
          <w:sz w:val="20"/>
          <w:szCs w:val="20"/>
          <w:u w:val="none" w:color="000007"/>
          <w:lang w:val="en-US"/>
        </w:rPr>
        <w:t>4.6 on page 50 is a summary of everything that has been done in preparation for the ITK, with the advices from the last ITK.</w:t>
      </w:r>
    </w:p>
    <w:p>
      <w:pPr>
        <w:pStyle w:val="TextBody"/>
        <w:rPr/>
      </w:pPr>
      <w:r>
        <w:rPr>
          <w:rFonts w:eastAsia="Caladea" w:cs="Caladea" w:ascii="Caladea" w:hAnsi="Caladea"/>
          <w:b/>
          <w:bCs/>
          <w:color w:val="000007"/>
          <w:sz w:val="20"/>
          <w:szCs w:val="20"/>
          <w:u w:val="none" w:color="000007"/>
          <w:lang w:val="en-US"/>
        </w:rPr>
        <w:t xml:space="preserve">Reflection </w:t>
      </w:r>
      <w:r>
        <w:rPr>
          <w:rFonts w:eastAsia="Caladea" w:cs="Caladea" w:ascii="Caladea" w:hAnsi="Caladea"/>
          <w:color w:val="000007"/>
          <w:sz w:val="20"/>
          <w:szCs w:val="20"/>
          <w:u w:val="none" w:color="000007"/>
          <w:lang w:val="en-US"/>
        </w:rPr>
        <w:t>(page 52) The reflection states we are very happy with the way the instruments of evaluation and monitoring on the UvA function. The midterm review of the previous ITK went well and some OC’s are are performing better, while others need to make big steps and need to be involved more when the educational directors make their yearly reports.</w:t>
      </w:r>
    </w:p>
    <w:p>
      <w:pPr>
        <w:pStyle w:val="TextBody"/>
        <w:rPr/>
      </w:pPr>
      <w:r>
        <w:rPr>
          <w:rFonts w:eastAsia="Caladea" w:cs="Caladea" w:ascii="Caladea" w:hAnsi="Caladea"/>
          <w:color w:val="000007"/>
          <w:sz w:val="20"/>
          <w:szCs w:val="20"/>
          <w:u w:val="none" w:color="000007"/>
          <w:lang w:val="en-US"/>
        </w:rPr>
        <w:t xml:space="preserve"> </w:t>
      </w:r>
      <w:r>
        <w:rPr>
          <w:rFonts w:eastAsia="Caladea" w:cs="Caladea" w:ascii="Caladea" w:hAnsi="Caladea"/>
          <w:color w:val="000007"/>
          <w:sz w:val="20"/>
          <w:szCs w:val="20"/>
          <w:u w:val="none" w:color="000007"/>
          <w:lang w:val="en-US"/>
        </w:rPr>
        <w:t xml:space="preserve">It states that a lot has changed since the occupations of the Maagden- and Bungehuis and the implementation of the 10-puntenplan. Also stated on page 53 is that the connection between the university and the professional work field should be strengthened. </w:t>
      </w:r>
    </w:p>
    <w:p>
      <w:pPr>
        <w:pStyle w:val="TextBody"/>
        <w:rPr/>
      </w:pPr>
      <w:r>
        <w:rPr>
          <w:rFonts w:eastAsia="Caladea" w:cs="Caladea" w:ascii="Caladea" w:hAnsi="Caladea"/>
          <w:b/>
          <w:bCs/>
          <w:color w:val="000007"/>
          <w:sz w:val="20"/>
          <w:szCs w:val="20"/>
          <w:u w:val="none" w:color="000007"/>
          <w:lang w:val="en-US"/>
        </w:rPr>
        <w:t>Chapter 5: Appendixes</w:t>
      </w:r>
    </w:p>
    <w:p>
      <w:pPr>
        <w:pStyle w:val="TextBody"/>
        <w:rPr>
          <w:rFonts w:ascii="Caladea" w:hAnsi="Caladea" w:eastAsia="Caladea" w:cs="Caladea"/>
          <w:b/>
          <w:b/>
          <w:bCs/>
          <w:color w:val="000007"/>
          <w:sz w:val="20"/>
          <w:szCs w:val="20"/>
          <w:u w:val="none" w:color="000007"/>
          <w:lang w:val="en-US"/>
        </w:rPr>
      </w:pPr>
      <w:r>
        <w:rPr/>
      </w:r>
    </w:p>
    <w:p>
      <w:pPr>
        <w:pStyle w:val="TextBody"/>
        <w:rPr>
          <w:rFonts w:ascii="Caladea" w:hAnsi="Caladea" w:eastAsia="Caladea" w:cs="Caladea"/>
          <w:b/>
          <w:b/>
          <w:bCs/>
          <w:color w:val="000007"/>
          <w:sz w:val="20"/>
          <w:szCs w:val="20"/>
          <w:u w:val="none" w:color="000007"/>
          <w:lang w:val="en-US"/>
        </w:rPr>
      </w:pPr>
      <w:r>
        <w:rPr/>
      </w:r>
    </w:p>
    <w:p>
      <w:pPr>
        <w:pStyle w:val="TextBody"/>
        <w:rPr>
          <w:rFonts w:ascii="Caladea" w:hAnsi="Caladea" w:eastAsia="Caladea" w:cs="Caladea"/>
          <w:b/>
          <w:b/>
          <w:bCs/>
          <w:color w:val="000007"/>
          <w:sz w:val="20"/>
          <w:szCs w:val="20"/>
          <w:u w:val="none" w:color="000007"/>
          <w:lang w:val="en-US"/>
        </w:rPr>
      </w:pPr>
      <w:r>
        <w:rPr/>
      </w:r>
    </w:p>
    <w:p>
      <w:pPr>
        <w:pStyle w:val="Heading"/>
        <w:jc w:val="both"/>
        <w:rPr/>
      </w:pPr>
      <w:r>
        <w:rPr>
          <w:lang w:val="nl-NL"/>
        </w:rPr>
        <w:t>Discussiepunten</w:t>
      </w:r>
    </w:p>
    <w:p>
      <w:pPr>
        <w:pStyle w:val="Body"/>
        <w:jc w:val="both"/>
        <w:rPr/>
      </w:pPr>
      <w:r>
        <w:rPr>
          <w:lang w:val="nl-NL"/>
        </w:rPr>
        <w:t>Please discus this internally so I can inform the CSR on the FSR</w:t>
      </w:r>
      <w:r>
        <w:rPr>
          <w:lang w:val="en-US"/>
        </w:rPr>
        <w:t>'s</w:t>
      </w:r>
      <w:r>
        <w:rPr>
          <w:lang w:val="nl-NL"/>
        </w:rPr>
        <w:t xml:space="preserve"> stances when we decide what to advice on the self-reflection, and take into account your remarks when writing an advice. </w:t>
      </w:r>
    </w:p>
    <w:p>
      <w:pPr>
        <w:pStyle w:val="ListParagraph"/>
        <w:numPr>
          <w:ilvl w:val="0"/>
          <w:numId w:val="1"/>
        </w:numPr>
        <w:bidi w:val="0"/>
        <w:ind w:left="720" w:right="0" w:hanging="360"/>
        <w:jc w:val="both"/>
        <w:rPr>
          <w:lang w:val="nl-NL"/>
        </w:rPr>
      </w:pPr>
      <w:r>
        <w:rPr>
          <w:lang w:val="nl-NL"/>
        </w:rPr>
        <w:t>Do you agree with the way the introduction describes the Uva?</w:t>
      </w:r>
    </w:p>
    <w:p>
      <w:pPr>
        <w:pStyle w:val="ListParagraph"/>
        <w:numPr>
          <w:ilvl w:val="0"/>
          <w:numId w:val="1"/>
        </w:numPr>
        <w:jc w:val="both"/>
        <w:rPr>
          <w:lang w:val="nl-NL"/>
        </w:rPr>
      </w:pPr>
      <w:r>
        <w:rPr>
          <w:lang w:val="nl-NL"/>
        </w:rPr>
        <w:t>Do you agree with the analysis in chapter 1?</w:t>
      </w:r>
    </w:p>
    <w:p>
      <w:pPr>
        <w:pStyle w:val="ListParagraph"/>
        <w:numPr>
          <w:ilvl w:val="0"/>
          <w:numId w:val="1"/>
        </w:numPr>
        <w:jc w:val="both"/>
        <w:rPr>
          <w:lang w:val="nl-NL"/>
        </w:rPr>
      </w:pPr>
      <w:r>
        <w:rPr>
          <w:lang w:val="nl-NL"/>
        </w:rPr>
        <w:t>Do you agree with the analysis in chapter 2?</w:t>
      </w:r>
    </w:p>
    <w:p>
      <w:pPr>
        <w:pStyle w:val="ListParagraph"/>
        <w:numPr>
          <w:ilvl w:val="0"/>
          <w:numId w:val="1"/>
        </w:numPr>
        <w:jc w:val="both"/>
        <w:rPr>
          <w:lang w:val="nl-NL"/>
        </w:rPr>
      </w:pPr>
      <w:r>
        <w:rPr>
          <w:lang w:val="nl-NL"/>
        </w:rPr>
        <w:t>Do you agree with the analysis in chapter 3?</w:t>
      </w:r>
    </w:p>
    <w:p>
      <w:pPr>
        <w:pStyle w:val="ListParagraph"/>
        <w:numPr>
          <w:ilvl w:val="0"/>
          <w:numId w:val="1"/>
        </w:numPr>
        <w:jc w:val="both"/>
        <w:rPr>
          <w:lang w:val="nl-NL"/>
        </w:rPr>
      </w:pPr>
      <w:r>
        <w:rPr>
          <w:lang w:val="nl-NL"/>
        </w:rPr>
        <w:t>Do you agree with the analysis in chapter 4?</w:t>
      </w:r>
    </w:p>
    <w:p>
      <w:pPr>
        <w:pStyle w:val="ListParagraph"/>
        <w:numPr>
          <w:ilvl w:val="0"/>
          <w:numId w:val="1"/>
        </w:numPr>
        <w:bidi w:val="0"/>
        <w:ind w:left="720" w:right="0" w:hanging="360"/>
        <w:jc w:val="both"/>
        <w:rPr>
          <w:lang w:val="nl-NL"/>
        </w:rPr>
      </w:pPr>
      <w:r>
        <w:rPr>
          <w:lang w:val="nl-NL"/>
        </w:rPr>
        <w:t xml:space="preserve">Is anything missing in the reflection? </w:t>
      </w:r>
    </w:p>
    <w:p>
      <w:pPr>
        <w:pStyle w:val="ListParagraph"/>
        <w:jc w:val="both"/>
        <w:rPr>
          <w:lang w:val="nl-NL"/>
        </w:rPr>
      </w:pPr>
      <w:r>
        <w:rPr>
          <w:lang w:val="nl-NL"/>
        </w:rPr>
      </w:r>
    </w:p>
    <w:p>
      <w:pPr>
        <w:pStyle w:val="ListParagraph"/>
        <w:jc w:val="both"/>
        <w:rPr>
          <w:lang w:val="nl-NL"/>
        </w:rPr>
      </w:pPr>
      <w:r>
        <w:rPr>
          <w:lang w:val="nl-NL"/>
        </w:rPr>
      </w:r>
    </w:p>
    <w:p>
      <w:pPr>
        <w:pStyle w:val="Body"/>
        <w:spacing w:before="0" w:after="180"/>
        <w:jc w:val="both"/>
        <w:rPr/>
      </w:pPr>
      <w:r>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2268" w:right="1854" w:header="822" w:top="2268" w:footer="822" w:bottom="1701" w:gutter="0"/>
      <w:pgNumType w:fmt="decimal"/>
      <w:formProt w:val="false"/>
      <w:titlePg/>
      <w:textDirection w:val="lrTb"/>
      <w:bidi/>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Cambria">
    <w:charset w:val="01"/>
    <w:family w:val="roman"/>
    <w:pitch w:val="variable"/>
  </w:font>
  <w:font w:name="Helvetica Neue">
    <w:charset w:val="01"/>
    <w:family w:val="roman"/>
    <w:pitch w:val="variable"/>
  </w:font>
  <w:font w:name="Caladea">
    <w:altName w:val="Cambria"/>
    <w:charset w:val="01"/>
    <w:family w:val="roman"/>
    <w:pitch w:val="variable"/>
  </w:font>
  <w:font w:name="Symbol">
    <w:charset w:val="02"/>
    <w:family w:val="auto"/>
    <w:pitch w:val="variable"/>
  </w:font>
  <w:font w:name="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tabs>
        <w:tab w:val="center" w:pos="4320" w:leader="none"/>
        <w:tab w:val="right" w:pos="7758" w:leader="none"/>
        <w:tab w:val="right" w:pos="8640" w:leader="none"/>
      </w:tabs>
      <w:rPr/>
    </w:pPr>
    <w:r>
      <w:rPr>
        <w:lang w:val="nl-NL"/>
      </w:rPr>
      <w:t xml:space="preserve">Pagina </w:t>
    </w:r>
    <w:r>
      <w:rPr>
        <w:lang w:val="nl-NL"/>
      </w:rPr>
      <w:fldChar w:fldCharType="begin"/>
    </w:r>
    <w:r>
      <w:instrText> PAGE </w:instrText>
    </w:r>
    <w:r>
      <w:fldChar w:fldCharType="separate"/>
    </w:r>
    <w:r>
      <w:t>4</w:t>
    </w:r>
    <w:r>
      <w:fldChar w:fldCharType="end"/>
    </w:r>
    <w:r>
      <w:rPr>
        <w:lang w:val="nl-NL"/>
      </w:rPr>
      <w:t xml:space="preserve"> </w:t>
    </w:r>
    <w:r>
      <w:rPr>
        <w:rFonts w:eastAsia="Cambria" w:cs="Cambria"/>
        <w:b/>
        <w:bCs/>
        <w:color w:val="D70929"/>
        <w:u w:val="none" w:color="D70929"/>
        <w:lang w:val="nl-NL"/>
      </w:rPr>
      <w:t>~</w:t>
    </w:r>
    <w:r>
      <w:rPr>
        <w:color w:val="D70929"/>
        <w:u w:val="none" w:color="D70929"/>
        <w:lang w:val="nl-NL"/>
      </w:rPr>
      <w:t xml:space="preserve"> </w:t>
    </w:r>
    <w:r>
      <w:rPr>
        <w:color w:val="D70929"/>
        <w:u w:val="none" w:color="D70929"/>
        <w:lang w:val="nl-NL"/>
      </w:rPr>
      <w:fldChar w:fldCharType="begin"/>
    </w:r>
    <w:r>
      <w:instrText> NUMPAGES </w:instrText>
    </w:r>
    <w:r>
      <w:fldChar w:fldCharType="separate"/>
    </w:r>
    <w:r>
      <w:t>5</w:t>
    </w:r>
    <w: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tabs>
        <w:tab w:val="center" w:pos="4320" w:leader="none"/>
        <w:tab w:val="right" w:pos="7758" w:leader="none"/>
        <w:tab w:val="right" w:pos="8640" w:leader="none"/>
      </w:tabs>
      <w:jc w:val="right"/>
      <w:rPr/>
    </w:pPr>
    <w:r>
      <w:rPr>
        <w:lang w:val="nl-NL"/>
      </w:rPr>
      <w:t xml:space="preserve">Pagina </w:t>
    </w:r>
    <w:r>
      <w:rPr>
        <w:lang w:val="nl-NL"/>
      </w:rPr>
      <w:fldChar w:fldCharType="begin"/>
    </w:r>
    <w:r>
      <w:instrText> PAGE </w:instrText>
    </w:r>
    <w:r>
      <w:fldChar w:fldCharType="separate"/>
    </w:r>
    <w:r>
      <w:t>5</w:t>
    </w:r>
    <w:r>
      <w:fldChar w:fldCharType="end"/>
    </w:r>
    <w:r>
      <w:rPr>
        <w:lang w:val="nl-NL"/>
      </w:rPr>
      <w:t xml:space="preserve"> </w:t>
    </w:r>
    <w:r>
      <w:rPr>
        <w:rFonts w:eastAsia="Cambria" w:cs="Cambria"/>
        <w:b/>
        <w:bCs/>
        <w:color w:val="D70929"/>
        <w:u w:val="none" w:color="D70929"/>
        <w:lang w:val="nl-NL"/>
      </w:rPr>
      <w:t>~</w:t>
    </w:r>
    <w:r>
      <w:rPr>
        <w:lang w:val="nl-NL"/>
      </w:rPr>
      <w:t xml:space="preserve"> </w:t>
    </w:r>
    <w:r>
      <w:rPr>
        <w:lang w:val="nl-NL"/>
      </w:rPr>
      <w:fldChar w:fldCharType="begin"/>
    </w:r>
    <w:r>
      <w:instrText> NUMPAGES </w:instrText>
    </w:r>
    <w:r>
      <w:fldChar w:fldCharType="separate"/>
    </w:r>
    <w:r>
      <w:t>5</w:t>
    </w:r>
    <w: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Footer"/>
      <w:bidi w:val="0"/>
      <w:jc w:val="left"/>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center" w:pos="4320" w:leader="none"/>
        <w:tab w:val="right" w:pos="7758" w:leader="none"/>
        <w:tab w:val="right" w:pos="8640" w:leader="none"/>
      </w:tabs>
      <w:rPr/>
    </w:pPr>
    <w:r>
      <w:rPr/>
      <mc:AlternateContent>
        <mc:Choice Requires="wps">
          <w:drawing>
            <wp:anchor behindDoc="1" distT="152400" distB="152400" distL="152400" distR="152400" simplePos="0" locked="0" layoutInCell="1" allowOverlap="1" relativeHeight="4">
              <wp:simplePos x="0" y="0"/>
              <wp:positionH relativeFrom="page">
                <wp:posOffset>1177290</wp:posOffset>
              </wp:positionH>
              <wp:positionV relativeFrom="page">
                <wp:posOffset>252095</wp:posOffset>
              </wp:positionV>
              <wp:extent cx="6132830" cy="210185"/>
              <wp:effectExtent l="0" t="0" r="0" b="0"/>
              <wp:wrapNone/>
              <wp:docPr id="1" name="officeArt object" descr="Image1"/>
              <a:graphic xmlns:a="http://schemas.openxmlformats.org/drawingml/2006/main">
                <a:graphicData uri="http://schemas.microsoft.com/office/word/2010/wordprocessingShape">
                  <wps:wsp>
                    <wps:cNvSpPr/>
                    <wps:spPr>
                      <a:xfrm>
                        <a:off x="0" y="0"/>
                        <a:ext cx="6132240" cy="209520"/>
                      </a:xfrm>
                      <a:prstGeom prst="rect">
                        <a:avLst/>
                      </a:prstGeom>
                      <a:solidFill>
                        <a:srgbClr val="d70929"/>
                      </a:solidFill>
                      <a:ln w="12600">
                        <a:noFill/>
                      </a:ln>
                      <a:effectLst>
                        <a:outerShdw algn="b" blurRad="0" dir="2700000" dist="16290" kx="0" ky="0" rotWithShape="0" sx="100000" sy="100000">
                          <a:srgbClr val="808080"/>
                        </a:outerShdw>
                      </a:effectLst>
                    </wps:spPr>
                    <wps:style>
                      <a:lnRef idx="0"/>
                      <a:fillRef idx="0"/>
                      <a:effectRef idx="0"/>
                      <a:fontRef idx="minor"/>
                    </wps:style>
                    <wps:bodyPr/>
                  </wps:wsp>
                </a:graphicData>
              </a:graphic>
            </wp:anchor>
          </w:drawing>
        </mc:Choice>
        <mc:Fallback>
          <w:pict>
            <v:rect id="shape_0" ID="officeArt object" fillcolor="#d70929" stroked="f" style="position:absolute;margin-left:92.7pt;margin-top:19.85pt;width:482.8pt;height:16.45pt;mso-position-horizontal-relative:page;mso-position-vertical-relative:page">
              <w10:wrap type="none"/>
              <v:fill o:detectmouseclick="t" type="solid" color2="#28f6d6"/>
              <v:stroke color="#3465a4" weight="12600" joinstyle="round" endcap="flat"/>
              <v:shadow on="t" obscured="f" color="gray"/>
            </v:rect>
          </w:pict>
        </mc:Fallback>
      </mc:AlternateContent>
      <w:drawing>
        <wp:anchor behindDoc="1" distT="152400" distB="152400" distL="152400" distR="152400" simplePos="0" locked="0" layoutInCell="1" allowOverlap="1" relativeHeight="8">
          <wp:simplePos x="0" y="0"/>
          <wp:positionH relativeFrom="page">
            <wp:posOffset>1173480</wp:posOffset>
          </wp:positionH>
          <wp:positionV relativeFrom="page">
            <wp:posOffset>518160</wp:posOffset>
          </wp:positionV>
          <wp:extent cx="1808480" cy="436880"/>
          <wp:effectExtent l="0" t="0" r="0" b="0"/>
          <wp:wrapNone/>
          <wp:docPr id="2" name="officeArt object"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fficeArt object"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36880"/>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center" w:pos="4320" w:leader="none"/>
        <w:tab w:val="left" w:pos="6400" w:leader="none"/>
        <w:tab w:val="right" w:pos="7758" w:leader="none"/>
        <w:tab w:val="right" w:pos="8640" w:leader="none"/>
      </w:tabs>
      <w:rPr>
        <w:lang w:val="nl-NL"/>
      </w:rPr>
    </w:pPr>
    <w:r>
      <mc:AlternateContent>
        <mc:Choice Requires="wps">
          <w:drawing>
            <wp:anchor behindDoc="1" distT="152400" distB="152400" distL="152400" distR="152400" simplePos="0" locked="0" layoutInCell="1" allowOverlap="1" relativeHeight="10">
              <wp:simplePos x="0" y="0"/>
              <wp:positionH relativeFrom="page">
                <wp:posOffset>252095</wp:posOffset>
              </wp:positionH>
              <wp:positionV relativeFrom="page">
                <wp:posOffset>252095</wp:posOffset>
              </wp:positionV>
              <wp:extent cx="6132830" cy="210185"/>
              <wp:effectExtent l="0" t="0" r="0" b="0"/>
              <wp:wrapNone/>
              <wp:docPr id="3" name="officeArt object" descr="Image2"/>
              <a:graphic xmlns:a="http://schemas.openxmlformats.org/drawingml/2006/main">
                <a:graphicData uri="http://schemas.microsoft.com/office/word/2010/wordprocessingShape">
                  <wps:wsp>
                    <wps:cNvSpPr/>
                    <wps:spPr>
                      <a:xfrm>
                        <a:off x="0" y="0"/>
                        <a:ext cx="6132240" cy="209520"/>
                      </a:xfrm>
                      <a:prstGeom prst="rect">
                        <a:avLst/>
                      </a:prstGeom>
                      <a:solidFill>
                        <a:srgbClr val="d70929"/>
                      </a:solidFill>
                      <a:ln w="12600">
                        <a:noFill/>
                      </a:ln>
                      <a:effectLst>
                        <a:outerShdw algn="b" blurRad="0" dir="2700000" dist="16290" kx="0" ky="0" rotWithShape="0" sx="100000" sy="100000">
                          <a:srgbClr val="808080"/>
                        </a:outerShdw>
                      </a:effectLst>
                    </wps:spPr>
                    <wps:style>
                      <a:lnRef idx="0"/>
                      <a:fillRef idx="0"/>
                      <a:effectRef idx="0"/>
                      <a:fontRef idx="minor"/>
                    </wps:style>
                    <wps:bodyPr/>
                  </wps:wsp>
                </a:graphicData>
              </a:graphic>
            </wp:anchor>
          </w:drawing>
        </mc:Choice>
        <mc:Fallback>
          <w:pict>
            <v:rect id="shape_0" ID="officeArt object" fillcolor="#d70929" stroked="f" style="position:absolute;margin-left:19.85pt;margin-top:19.85pt;width:482.8pt;height:16.45pt;mso-position-horizontal-relative:page;mso-position-vertical-relative:page">
              <w10:wrap type="none"/>
              <v:fill o:detectmouseclick="t" type="solid" color2="#28f6d6"/>
              <v:stroke color="#3465a4" weight="12600" joinstyle="round" endcap="flat"/>
              <v:shadow on="t" obscured="f" color="gray"/>
            </v:rect>
          </w:pict>
        </mc:Fallback>
      </mc:AlternateContent>
    </w:r>
    <w:r>
      <w:rPr>
        <w:color w:val="D70929"/>
        <w:u w:val="none" w:color="D70929"/>
        <w:lang w:val="nl-NL"/>
      </w:rPr>
      <w:tab/>
    </w:r>
    <w:r>
      <w:rPr>
        <w:rFonts w:eastAsia="Cambria" w:cs="Cambria"/>
        <w:i/>
        <w:iCs/>
        <w:color w:val="D70929"/>
        <w:u w:val="none" w:color="D70929"/>
        <w:lang w:val="nl-NL"/>
      </w:rPr>
      <w:t>Centrale</w:t>
    </w:r>
    <w:r>
      <w:rPr>
        <w:color w:val="D70929"/>
        <w:u w:val="none" w:color="D70929"/>
        <w:lang w:val="nl-NL"/>
      </w:rPr>
      <w:t xml:space="preserve"> </w:t>
    </w:r>
    <w:r>
      <w:rPr>
        <w:rFonts w:eastAsia="Cambria" w:cs="Cambria"/>
        <w:b/>
        <w:bCs/>
        <w:color w:val="D70929"/>
        <w:u w:val="none" w:color="D70929"/>
        <w:lang w:val="nl-NL"/>
      </w:rPr>
      <w:t>Studentenraad</w:t>
    </w:r>
  </w:p>
  <w:p>
    <w:pPr>
      <w:pStyle w:val="Header"/>
      <w:tabs>
        <w:tab w:val="center" w:pos="4320" w:leader="none"/>
        <w:tab w:val="right" w:pos="7758" w:leader="none"/>
        <w:tab w:val="right" w:pos="8640" w:leader="none"/>
      </w:tabs>
      <w:rPr/>
    </w:pPr>
    <w:r>
      <w:rPr>
        <w:lang w:val="nl-NL"/>
      </w:rPr>
      <w:t xml:space="preserve">studentenraad.nl/csr  </w:t>
    </w:r>
    <w:r>
      <w:rPr>
        <w:rFonts w:eastAsia="Cambria" w:cs="Cambria"/>
        <w:b/>
        <w:bCs/>
        <w:color w:val="D70929"/>
        <w:sz w:val="16"/>
        <w:szCs w:val="16"/>
        <w:u w:val="none" w:color="D70929"/>
        <w:lang w:val="nl-NL"/>
      </w:rPr>
      <w:t xml:space="preserve">~ </w:t>
    </w:r>
    <w:r>
      <w:rPr>
        <w:lang w:val="nl-NL"/>
      </w:rPr>
      <w:t xml:space="preserve"> csr@studentenraad.nl</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center" w:pos="4320" w:leader="none"/>
        <w:tab w:val="right" w:pos="7758" w:leader="none"/>
        <w:tab w:val="right" w:pos="8640" w:leader="none"/>
      </w:tabs>
      <w:rPr/>
    </w:pPr>
    <w:r>
      <w:rPr/>
      <mc:AlternateContent>
        <mc:Choice Requires="wps">
          <w:drawing>
            <wp:anchor behindDoc="1" distT="152400" distB="152400" distL="152400" distR="152400" simplePos="0" locked="0" layoutInCell="1" allowOverlap="1" relativeHeight="5">
              <wp:simplePos x="0" y="0"/>
              <wp:positionH relativeFrom="page">
                <wp:posOffset>1440180</wp:posOffset>
              </wp:positionH>
              <wp:positionV relativeFrom="page">
                <wp:posOffset>252095</wp:posOffset>
              </wp:positionV>
              <wp:extent cx="5869940" cy="210185"/>
              <wp:effectExtent l="0" t="0" r="0" b="0"/>
              <wp:wrapNone/>
              <wp:docPr id="4" name="officeArt object" descr="Image3"/>
              <a:graphic xmlns:a="http://schemas.openxmlformats.org/drawingml/2006/main">
                <a:graphicData uri="http://schemas.microsoft.com/office/word/2010/wordprocessingShape">
                  <wps:wsp>
                    <wps:cNvSpPr/>
                    <wps:spPr>
                      <a:xfrm>
                        <a:off x="0" y="0"/>
                        <a:ext cx="5869440" cy="209520"/>
                      </a:xfrm>
                      <a:prstGeom prst="rect">
                        <a:avLst/>
                      </a:prstGeom>
                      <a:solidFill>
                        <a:srgbClr val="d70929"/>
                      </a:solidFill>
                      <a:ln w="12600">
                        <a:noFill/>
                      </a:ln>
                      <a:effectLst>
                        <a:outerShdw algn="b" blurRad="0" dir="2700000" dist="16290" kx="0" ky="0" rotWithShape="0" sx="100000" sy="100000">
                          <a:srgbClr val="808080"/>
                        </a:outerShdw>
                      </a:effectLst>
                    </wps:spPr>
                    <wps:style>
                      <a:lnRef idx="0"/>
                      <a:fillRef idx="0"/>
                      <a:effectRef idx="0"/>
                      <a:fontRef idx="minor"/>
                    </wps:style>
                    <wps:bodyPr/>
                  </wps:wsp>
                </a:graphicData>
              </a:graphic>
            </wp:anchor>
          </w:drawing>
        </mc:Choice>
        <mc:Fallback>
          <w:pict>
            <v:rect id="shape_0" ID="officeArt object" fillcolor="#d70929" stroked="f" style="position:absolute;margin-left:113.4pt;margin-top:19.85pt;width:462.1pt;height:16.45pt;mso-position-horizontal-relative:page;mso-position-vertical-relative:page">
              <w10:wrap type="none"/>
              <v:fill o:detectmouseclick="t" type="solid" color2="#28f6d6"/>
              <v:stroke color="#3465a4" weight="12600" joinstyle="round" endcap="flat"/>
              <v:shadow on="t" obscured="f" color="gray"/>
            </v:rect>
          </w:pict>
        </mc:Fallback>
      </mc:AlternateContent>
      <w:drawing>
        <wp:anchor behindDoc="1" distT="152400" distB="152400" distL="152400" distR="152400" simplePos="0" locked="0" layoutInCell="1" allowOverlap="1" relativeHeight="2">
          <wp:simplePos x="0" y="0"/>
          <wp:positionH relativeFrom="page">
            <wp:posOffset>685800</wp:posOffset>
          </wp:positionH>
          <wp:positionV relativeFrom="page">
            <wp:posOffset>599440</wp:posOffset>
          </wp:positionV>
          <wp:extent cx="3464560" cy="822960"/>
          <wp:effectExtent l="0" t="0" r="0" b="0"/>
          <wp:wrapNone/>
          <wp:docPr id="5" name="Image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464560" cy="822960"/>
                  </a:xfrm>
                  <a:prstGeom prst="rect">
                    <a:avLst/>
                  </a:prstGeom>
                </pic:spPr>
              </pic:pic>
            </a:graphicData>
          </a:graphic>
        </wp:anchor>
      </w:drawing>
      <w:drawing>
        <wp:anchor behindDoc="1" distT="152400" distB="152400" distL="152400" distR="152400" simplePos="0" locked="0" layoutInCell="1" allowOverlap="1" relativeHeight="6">
          <wp:simplePos x="0" y="0"/>
          <wp:positionH relativeFrom="page">
            <wp:posOffset>1127125</wp:posOffset>
          </wp:positionH>
          <wp:positionV relativeFrom="page">
            <wp:posOffset>10023475</wp:posOffset>
          </wp:positionV>
          <wp:extent cx="2545080" cy="254000"/>
          <wp:effectExtent l="0" t="0" r="0" b="0"/>
          <wp:wrapNone/>
          <wp:docPr id="6"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descr=""/>
                  <pic:cNvPicPr>
                    <a:picLocks noChangeAspect="1" noChangeArrowheads="1"/>
                  </pic:cNvPicPr>
                </pic:nvPicPr>
                <pic:blipFill>
                  <a:blip r:embed="rId2"/>
                  <a:stretch>
                    <a:fillRect/>
                  </a:stretch>
                </pic:blipFill>
                <pic:spPr bwMode="auto">
                  <a:xfrm>
                    <a:off x="0" y="0"/>
                    <a:ext cx="2545080" cy="25400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mallCaps w:val="false"/>
        <w:caps w:val="false"/>
        <w:outline w:val="false"/>
        <w:dstrike w:val="false"/>
        <w:strike w:val="false"/>
        <w:vertAlign w:val="baseline"/>
        <w:position w:val="0"/>
        <w:sz w:val="24"/>
        <w:sz w:val="24"/>
        <w:spacing w:val="0"/>
        <w:i w:val="false"/>
        <w:b w:val="false"/>
        <w:kern w:val="0"/>
        <w:iCs w:val="false"/>
        <w:bCs w:val="false"/>
        <w:w w:val="100"/>
        <w:emboss w:val="false"/>
        <w:imprint w:val="false"/>
        <w:rFonts w:cs="Symbol"/>
      </w:rPr>
    </w:lvl>
    <w:lvl w:ilvl="1">
      <w:start w:val="1"/>
      <w:numFmt w:val="bullet"/>
      <w:lvlText w:val="◦"/>
      <w:lvlJc w:val="left"/>
      <w:pPr>
        <w:tabs>
          <w:tab w:val="num" w:pos="720"/>
        </w:tabs>
        <w:ind w:left="1080" w:hanging="36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kern w:val="0"/>
        <w:iCs w:val="false"/>
        <w:bCs w:val="false"/>
        <w:w w:val="100"/>
        <w:emboss w:val="false"/>
        <w:imprint w:val="false"/>
        <w:rFonts w:cs="Arial Unicode MS"/>
      </w:rPr>
    </w:lvl>
    <w:lvl w:ilvl="2">
      <w:start w:val="1"/>
      <w:numFmt w:val="bullet"/>
      <w:lvlText w:val="▪"/>
      <w:lvlJc w:val="left"/>
      <w:pPr>
        <w:tabs>
          <w:tab w:val="num" w:pos="720"/>
        </w:tabs>
        <w:ind w:left="1440" w:hanging="36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kern w:val="0"/>
        <w:iCs w:val="false"/>
        <w:bCs w:val="false"/>
        <w:w w:val="100"/>
        <w:emboss w:val="false"/>
        <w:imprint w:val="false"/>
        <w:rFonts w:cs="Arial Unicode MS"/>
      </w:rPr>
    </w:lvl>
    <w:lvl w:ilvl="3">
      <w:start w:val="1"/>
      <w:numFmt w:val="bullet"/>
      <w:lvlText w:val="·"/>
      <w:lvlJc w:val="left"/>
      <w:pPr>
        <w:tabs>
          <w:tab w:val="num" w:pos="720"/>
        </w:tabs>
        <w:ind w:left="1800" w:hanging="360"/>
      </w:pPr>
      <w:rPr>
        <w:rFonts w:ascii="Symbol" w:hAnsi="Symbol" w:cs="Symbol" w:hint="default"/>
        <w:smallCaps w:val="false"/>
        <w:caps w:val="false"/>
        <w:outline w:val="false"/>
        <w:dstrike w:val="false"/>
        <w:strike w:val="false"/>
        <w:vertAlign w:val="baseline"/>
        <w:position w:val="0"/>
        <w:sz w:val="24"/>
        <w:sz w:val="24"/>
        <w:spacing w:val="0"/>
        <w:i w:val="false"/>
        <w:b w:val="false"/>
        <w:kern w:val="0"/>
        <w:iCs w:val="false"/>
        <w:bCs w:val="false"/>
        <w:w w:val="100"/>
        <w:emboss w:val="false"/>
        <w:imprint w:val="false"/>
        <w:rFonts w:cs="Symbol"/>
      </w:rPr>
    </w:lvl>
    <w:lvl w:ilvl="4">
      <w:start w:val="1"/>
      <w:numFmt w:val="bullet"/>
      <w:lvlText w:val="◦"/>
      <w:lvlJc w:val="left"/>
      <w:pPr>
        <w:tabs>
          <w:tab w:val="num" w:pos="720"/>
        </w:tabs>
        <w:ind w:left="2160" w:hanging="36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kern w:val="0"/>
        <w:iCs w:val="false"/>
        <w:bCs w:val="false"/>
        <w:w w:val="100"/>
        <w:emboss w:val="false"/>
        <w:imprint w:val="false"/>
        <w:rFonts w:cs="Arial Unicode MS"/>
      </w:rPr>
    </w:lvl>
    <w:lvl w:ilvl="5">
      <w:start w:val="1"/>
      <w:numFmt w:val="bullet"/>
      <w:lvlText w:val="▪"/>
      <w:lvlJc w:val="left"/>
      <w:pPr>
        <w:tabs>
          <w:tab w:val="num" w:pos="720"/>
        </w:tabs>
        <w:ind w:left="2520" w:hanging="36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kern w:val="0"/>
        <w:iCs w:val="false"/>
        <w:bCs w:val="false"/>
        <w:w w:val="100"/>
        <w:emboss w:val="false"/>
        <w:imprint w:val="false"/>
        <w:rFonts w:cs="Arial Unicode MS"/>
      </w:rPr>
    </w:lvl>
    <w:lvl w:ilvl="6">
      <w:start w:val="1"/>
      <w:numFmt w:val="bullet"/>
      <w:lvlText w:val="·"/>
      <w:lvlJc w:val="left"/>
      <w:pPr>
        <w:tabs>
          <w:tab w:val="num" w:pos="720"/>
        </w:tabs>
        <w:ind w:left="2880" w:hanging="360"/>
      </w:pPr>
      <w:rPr>
        <w:rFonts w:ascii="Symbol" w:hAnsi="Symbol" w:cs="Symbol" w:hint="default"/>
        <w:smallCaps w:val="false"/>
        <w:caps w:val="false"/>
        <w:outline w:val="false"/>
        <w:dstrike w:val="false"/>
        <w:strike w:val="false"/>
        <w:vertAlign w:val="baseline"/>
        <w:position w:val="0"/>
        <w:sz w:val="24"/>
        <w:sz w:val="24"/>
        <w:spacing w:val="0"/>
        <w:i w:val="false"/>
        <w:b w:val="false"/>
        <w:kern w:val="0"/>
        <w:iCs w:val="false"/>
        <w:bCs w:val="false"/>
        <w:w w:val="100"/>
        <w:emboss w:val="false"/>
        <w:imprint w:val="false"/>
        <w:rFonts w:cs="Symbol"/>
      </w:rPr>
    </w:lvl>
    <w:lvl w:ilvl="7">
      <w:start w:val="1"/>
      <w:numFmt w:val="bullet"/>
      <w:lvlText w:val="◦"/>
      <w:lvlJc w:val="left"/>
      <w:pPr>
        <w:tabs>
          <w:tab w:val="num" w:pos="720"/>
        </w:tabs>
        <w:ind w:left="3240" w:hanging="36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kern w:val="0"/>
        <w:iCs w:val="false"/>
        <w:bCs w:val="false"/>
        <w:w w:val="100"/>
        <w:emboss w:val="false"/>
        <w:imprint w:val="false"/>
        <w:rFonts w:cs="Arial Unicode MS"/>
      </w:rPr>
    </w:lvl>
    <w:lvl w:ilvl="8">
      <w:start w:val="1"/>
      <w:numFmt w:val="bullet"/>
      <w:lvlText w:val="▪"/>
      <w:lvlJc w:val="left"/>
      <w:pPr>
        <w:tabs>
          <w:tab w:val="num" w:pos="720"/>
        </w:tabs>
        <w:ind w:left="3600" w:hanging="36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kern w:val="0"/>
        <w:iCs w:val="false"/>
        <w:bCs w:val="false"/>
        <w:w w:val="100"/>
        <w:emboss w:val="false"/>
        <w:imprint w:val="false"/>
        <w:rFonts w:cs="Arial Unicode MS"/>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65"/>
  <w:trackRevisions/>
  <w:mirrorMargins/>
  <w:defaultTabStop w:val="720"/>
  <w:autoHyphenation w:val="true"/>
  <w:evenAndOddHeaders/>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color w:val="00000A"/>
        <w:lang w:val="nl-NL" w:eastAsia="zh-CN" w:bidi="hi-IN"/>
      </w:rPr>
    </w:rPrDefault>
    <w:pPrDefault>
      <w:pPr/>
    </w:pPrDefault>
  </w:docDefaults>
  <w:style w:type="paragraph" w:styleId="Normal" w:default="1">
    <w:name w:val="Normal"/>
    <w:qFormat/>
    <w:pPr>
      <w:keepNext w:val="false"/>
      <w:keepLines w:val="false"/>
      <w:pageBreakBefore w:val="false"/>
      <w:widowControl/>
      <w:shd w:val="clear" w:color="auto" w:fill="auto"/>
      <w:suppressAutoHyphens w:val="false"/>
      <w:bidi w:val="0"/>
      <w:spacing w:lineRule="auto" w:line="240" w:beforeAutospacing="0" w:before="0" w:afterAutospacing="0" w:after="0"/>
      <w:ind w:left="0" w:right="0" w:hanging="0"/>
      <w:jc w:val="left"/>
    </w:pPr>
    <w:rPr>
      <w:rFonts w:ascii="Times New Roman" w:hAnsi="Times New Roman" w:eastAsia="Arial Unicode MS" w:cs="Times New Roman"/>
      <w:b w:val="false"/>
      <w:bCs w:val="false"/>
      <w:i w:val="false"/>
      <w:iCs w:val="false"/>
      <w:caps w:val="false"/>
      <w:smallCaps w:val="false"/>
      <w:strike w:val="false"/>
      <w:dstrike w:val="false"/>
      <w:outline w:val="false"/>
      <w:emboss w:val="false"/>
      <w:imprint w:val="false"/>
      <w:vanish w:val="false"/>
      <w:color w:val="00000A"/>
      <w:spacing w:val="0"/>
      <w:w w:val="100"/>
      <w:kern w:val="0"/>
      <w:position w:val="0"/>
      <w:sz w:val="24"/>
      <w:sz w:val="24"/>
      <w:szCs w:val="24"/>
      <w:u w:val="none" w:color="00000A"/>
      <w:vertAlign w:val="baseline"/>
      <w:lang w:val="en-US" w:eastAsia="en-US" w:bidi="ar-SA"/>
    </w:rPr>
  </w:style>
  <w:style w:type="character" w:styleId="DefaultParagraphFont" w:default="1">
    <w:name w:val="Default Paragraph Font"/>
    <w:qFormat/>
    <w:rPr/>
  </w:style>
  <w:style w:type="character" w:styleId="InternetLink">
    <w:name w:val="Internet Link"/>
    <w:rPr>
      <w:u w:val="single" w:color="00000A"/>
    </w:rPr>
  </w:style>
  <w:style w:type="character" w:styleId="ListLabel1">
    <w:name w:val="ListLabel 1"/>
    <w:qFormat/>
    <w:rPr>
      <w:rFonts w:eastAsia="Symbol" w:cs="Symbol"/>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2">
    <w:name w:val="ListLabel 2"/>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3">
    <w:name w:val="ListLabel 3"/>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4">
    <w:name w:val="ListLabel 4"/>
    <w:qFormat/>
    <w:rPr>
      <w:rFonts w:eastAsia="Symbol" w:cs="Symbol"/>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5">
    <w:name w:val="ListLabel 5"/>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6">
    <w:name w:val="ListLabel 6"/>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7">
    <w:name w:val="ListLabel 7"/>
    <w:qFormat/>
    <w:rPr>
      <w:rFonts w:eastAsia="Symbol" w:cs="Symbol"/>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8">
    <w:name w:val="ListLabel 8"/>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9">
    <w:name w:val="ListLabel 9"/>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10">
    <w:name w:val="ListLabel 10"/>
    <w:qFormat/>
    <w:rPr>
      <w:rFonts w:eastAsia="Symbol" w:cs="Symbol"/>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11">
    <w:name w:val="ListLabel 11"/>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12">
    <w:name w:val="ListLabel 12"/>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13">
    <w:name w:val="ListLabel 13"/>
    <w:qFormat/>
    <w:rPr>
      <w:rFonts w:eastAsia="Symbol" w:cs="Symbol"/>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14">
    <w:name w:val="ListLabel 14"/>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15">
    <w:name w:val="ListLabel 15"/>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16">
    <w:name w:val="ListLabel 16"/>
    <w:qFormat/>
    <w:rPr>
      <w:rFonts w:eastAsia="Symbol" w:cs="Symbol"/>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17">
    <w:name w:val="ListLabel 17"/>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18">
    <w:name w:val="ListLabel 18"/>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19">
    <w:name w:val="ListLabel 19"/>
    <w:qFormat/>
    <w:rPr>
      <w:rFonts w:cs="Symbol"/>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20">
    <w:name w:val="ListLabel 20"/>
    <w:qFormat/>
    <w:rPr>
      <w:rFont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21">
    <w:name w:val="ListLabel 21"/>
    <w:qFormat/>
    <w:rPr>
      <w:rFont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22">
    <w:name w:val="ListLabel 22"/>
    <w:qFormat/>
    <w:rPr>
      <w:rFonts w:cs="Symbol"/>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23">
    <w:name w:val="ListLabel 23"/>
    <w:qFormat/>
    <w:rPr>
      <w:rFont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24">
    <w:name w:val="ListLabel 24"/>
    <w:qFormat/>
    <w:rPr>
      <w:rFont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25">
    <w:name w:val="ListLabel 25"/>
    <w:qFormat/>
    <w:rPr>
      <w:rFonts w:cs="Symbol"/>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26">
    <w:name w:val="ListLabel 26"/>
    <w:qFormat/>
    <w:rPr>
      <w:rFont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character" w:styleId="ListLabel27">
    <w:name w:val="ListLabel 27"/>
    <w:qFormat/>
    <w:rPr>
      <w:rFonts w:cs="Arial Unicode MS"/>
      <w:b w:val="false"/>
      <w:bCs w:val="false"/>
      <w:i w:val="false"/>
      <w:iCs w:val="false"/>
      <w:caps w:val="false"/>
      <w:smallCaps w:val="false"/>
      <w:strike w:val="false"/>
      <w:dstrike w:val="false"/>
      <w:outline w:val="false"/>
      <w:emboss w:val="false"/>
      <w:imprint w:val="false"/>
      <w:spacing w:val="0"/>
      <w:w w:val="100"/>
      <w:kern w:val="0"/>
      <w:position w:val="0"/>
      <w:sz w:val="24"/>
      <w:sz w:val="24"/>
      <w:vertAlign w:val="baseline"/>
    </w:rPr>
  </w:style>
  <w:style w:type="paragraph" w:styleId="Heading">
    <w:name w:val="Heading"/>
    <w:basedOn w:val="Normal"/>
    <w:next w:val="TextBody"/>
    <w:qFormat/>
    <w:pPr>
      <w:keepNext w:val="true"/>
      <w:keepLines/>
      <w:pageBreakBefore w:val="false"/>
      <w:widowControl/>
      <w:shd w:val="clear" w:color="auto" w:fill="auto"/>
      <w:suppressAutoHyphens w:val="false"/>
      <w:bidi w:val="0"/>
      <w:spacing w:lineRule="auto" w:line="300" w:before="290" w:after="0"/>
      <w:ind w:left="0" w:right="0" w:hanging="0"/>
      <w:jc w:val="left"/>
      <w:outlineLvl w:val="0"/>
    </w:pPr>
    <w:rPr>
      <w:rFonts w:ascii="Cambria" w:hAnsi="Cambria" w:eastAsia="Cambria" w:cs="Cambria"/>
      <w:b/>
      <w:bCs/>
      <w:i w:val="false"/>
      <w:iCs w:val="false"/>
      <w:caps w:val="false"/>
      <w:smallCaps w:val="false"/>
      <w:strike w:val="false"/>
      <w:dstrike w:val="false"/>
      <w:outline w:val="false"/>
      <w:color w:val="D70929"/>
      <w:spacing w:val="0"/>
      <w:kern w:val="0"/>
      <w:position w:val="0"/>
      <w:sz w:val="24"/>
      <w:sz w:val="24"/>
      <w:szCs w:val="24"/>
      <w:u w:val="none" w:color="D70929"/>
      <w:vertAlign w:val="baseline"/>
      <w:lang w:val="nl-NL"/>
    </w:rPr>
  </w:style>
  <w:style w:type="paragraph" w:styleId="TextBody">
    <w:name w:val="Body Text"/>
    <w:basedOn w:val="Normal"/>
    <w:pPr>
      <w:keepNext w:val="false"/>
      <w:keepLines w:val="false"/>
      <w:pageBreakBefore w:val="false"/>
      <w:widowControl/>
      <w:shd w:val="clear" w:color="auto" w:fill="auto"/>
      <w:suppressAutoHyphens w:val="false"/>
      <w:bidi w:val="0"/>
      <w:spacing w:lineRule="auto" w:line="288" w:before="0" w:after="140"/>
      <w:ind w:left="0" w:right="0" w:hanging="0"/>
      <w:jc w:val="left"/>
    </w:pPr>
    <w:rPr>
      <w:rFonts w:ascii="Cambria" w:hAnsi="Cambria" w:eastAsia="Cambria" w:cs="Cambria"/>
      <w:b w:val="false"/>
      <w:bCs w:val="false"/>
      <w:i w:val="false"/>
      <w:iCs w:val="false"/>
      <w:caps w:val="false"/>
      <w:smallCaps w:val="false"/>
      <w:strike w:val="false"/>
      <w:dstrike w:val="false"/>
      <w:outline w:val="false"/>
      <w:color w:val="00000A"/>
      <w:spacing w:val="0"/>
      <w:kern w:val="0"/>
      <w:position w:val="0"/>
      <w:sz w:val="19"/>
      <w:sz w:val="19"/>
      <w:szCs w:val="19"/>
      <w:u w:val="none" w:color="00000A"/>
      <w:vertAlign w:val="baseline"/>
      <w:lang w:val="en-US"/>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eader">
    <w:name w:val="Header"/>
    <w:basedOn w:val="Normal"/>
    <w:pPr>
      <w:keepNext w:val="false"/>
      <w:keepLines w:val="false"/>
      <w:pageBreakBefore w:val="false"/>
      <w:widowControl/>
      <w:shd w:val="clear" w:color="auto" w:fill="auto"/>
      <w:tabs>
        <w:tab w:val="center" w:pos="4320" w:leader="none"/>
        <w:tab w:val="right" w:pos="8640" w:leader="none"/>
      </w:tabs>
      <w:suppressAutoHyphens w:val="false"/>
      <w:bidi w:val="0"/>
      <w:spacing w:lineRule="auto" w:line="240" w:before="0" w:after="0"/>
      <w:ind w:left="0" w:right="1701" w:hanging="0"/>
      <w:jc w:val="right"/>
    </w:pPr>
    <w:rPr>
      <w:rFonts w:ascii="Cambria" w:hAnsi="Cambria" w:eastAsia="Cambria" w:cs="Cambria"/>
      <w:b w:val="false"/>
      <w:bCs w:val="false"/>
      <w:i w:val="false"/>
      <w:iCs w:val="false"/>
      <w:caps w:val="false"/>
      <w:smallCaps w:val="false"/>
      <w:strike w:val="false"/>
      <w:dstrike w:val="false"/>
      <w:outline w:val="false"/>
      <w:color w:val="00000A"/>
      <w:spacing w:val="0"/>
      <w:kern w:val="0"/>
      <w:position w:val="0"/>
      <w:sz w:val="14"/>
      <w:sz w:val="14"/>
      <w:szCs w:val="14"/>
      <w:u w:val="none" w:color="00000A"/>
      <w:vertAlign w:val="baseline"/>
      <w:lang w:val="en-US"/>
    </w:rPr>
  </w:style>
  <w:style w:type="paragraph" w:styleId="Footer">
    <w:name w:val="Footer"/>
    <w:basedOn w:val="Normal"/>
    <w:pPr>
      <w:keepNext w:val="false"/>
      <w:keepLines w:val="false"/>
      <w:pageBreakBefore w:val="false"/>
      <w:widowControl/>
      <w:shd w:val="clear" w:color="auto" w:fill="auto"/>
      <w:tabs>
        <w:tab w:val="center" w:pos="4320" w:leader="none"/>
        <w:tab w:val="right" w:pos="8640" w:leader="none"/>
      </w:tabs>
      <w:suppressAutoHyphens w:val="false"/>
      <w:bidi w:val="0"/>
      <w:spacing w:lineRule="auto" w:line="300" w:before="0" w:after="0"/>
      <w:ind w:left="0" w:right="0" w:hanging="0"/>
      <w:jc w:val="left"/>
    </w:pPr>
    <w:rPr>
      <w:rFonts w:ascii="Cambria" w:hAnsi="Cambria" w:eastAsia="Cambria" w:cs="Cambria"/>
      <w:b w:val="false"/>
      <w:bCs w:val="false"/>
      <w:i w:val="false"/>
      <w:iCs w:val="false"/>
      <w:caps w:val="false"/>
      <w:smallCaps w:val="false"/>
      <w:strike w:val="false"/>
      <w:dstrike w:val="false"/>
      <w:outline w:val="false"/>
      <w:color w:val="00000A"/>
      <w:spacing w:val="0"/>
      <w:kern w:val="0"/>
      <w:position w:val="0"/>
      <w:sz w:val="19"/>
      <w:sz w:val="19"/>
      <w:szCs w:val="19"/>
      <w:u w:val="none" w:color="00000A"/>
      <w:vertAlign w:val="baseline"/>
      <w:lang w:val="en-US"/>
    </w:rPr>
  </w:style>
  <w:style w:type="paragraph" w:styleId="HeaderFooter">
    <w:name w:val="Header &amp; Footer"/>
    <w:qFormat/>
    <w:pPr>
      <w:keepNext w:val="false"/>
      <w:keepLines w:val="false"/>
      <w:pageBreakBefore w:val="false"/>
      <w:widowControl/>
      <w:shd w:val="clear" w:color="auto" w:fill="auto"/>
      <w:tabs>
        <w:tab w:val="right" w:pos="9020" w:leader="none"/>
      </w:tabs>
      <w:suppressAutoHyphens w:val="false"/>
      <w:bidi w:val="0"/>
      <w:spacing w:lineRule="auto" w:line="240" w:before="0" w:after="0"/>
      <w:ind w:left="0" w:right="0" w:hanging="0"/>
      <w:jc w:val="left"/>
    </w:pPr>
    <w:rPr>
      <w:rFonts w:ascii="Helvetica Neue" w:hAnsi="Helvetica Neue" w:eastAsia="Helvetica Neue" w:cs="Helvetica Neue"/>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4"/>
      <w:sz w:val="24"/>
      <w:szCs w:val="24"/>
      <w:u w:val="none" w:color="00000A"/>
      <w:vertAlign w:val="baseline"/>
      <w:lang w:val="nl-NL" w:eastAsia="zh-CN" w:bidi="hi-IN"/>
    </w:rPr>
  </w:style>
  <w:style w:type="paragraph" w:styleId="Body">
    <w:name w:val="Body"/>
    <w:qFormat/>
    <w:pPr>
      <w:keepNext w:val="false"/>
      <w:keepLines w:val="false"/>
      <w:pageBreakBefore w:val="false"/>
      <w:widowControl/>
      <w:shd w:val="clear" w:color="auto" w:fill="auto"/>
      <w:suppressAutoHyphens w:val="false"/>
      <w:bidi w:val="0"/>
      <w:spacing w:lineRule="auto" w:line="300" w:before="0" w:after="180"/>
      <w:ind w:left="0" w:right="0" w:hanging="0"/>
      <w:jc w:val="left"/>
    </w:pPr>
    <w:rPr>
      <w:rFonts w:ascii="Cambria" w:hAnsi="Cambria" w:eastAsia="Cambria" w:cs="Cambria"/>
      <w:b w:val="false"/>
      <w:bCs w:val="false"/>
      <w:i w:val="false"/>
      <w:iCs w:val="false"/>
      <w:caps w:val="false"/>
      <w:smallCaps w:val="false"/>
      <w:strike w:val="false"/>
      <w:dstrike w:val="false"/>
      <w:outline w:val="false"/>
      <w:emboss w:val="false"/>
      <w:imprint w:val="false"/>
      <w:vanish w:val="false"/>
      <w:color w:val="00000A"/>
      <w:spacing w:val="0"/>
      <w:w w:val="100"/>
      <w:kern w:val="0"/>
      <w:position w:val="0"/>
      <w:sz w:val="19"/>
      <w:sz w:val="19"/>
      <w:szCs w:val="19"/>
      <w:u w:val="none" w:color="00000A"/>
      <w:vertAlign w:val="baseline"/>
      <w:lang w:val="nl-NL" w:eastAsia="zh-CN" w:bidi="hi-IN"/>
    </w:rPr>
  </w:style>
  <w:style w:type="paragraph" w:styleId="Tabelinhoud">
    <w:name w:val="Tabelinhoud"/>
    <w:qFormat/>
    <w:pPr>
      <w:keepNext w:val="false"/>
      <w:keepLines w:val="false"/>
      <w:pageBreakBefore w:val="false"/>
      <w:widowControl/>
      <w:shd w:val="clear" w:color="auto" w:fill="auto"/>
      <w:tabs>
        <w:tab w:val="left" w:pos="397" w:leader="none"/>
        <w:tab w:val="left" w:pos="794" w:leader="none"/>
        <w:tab w:val="center" w:pos="2018" w:leader="none"/>
        <w:tab w:val="left" w:pos="2448" w:leader="none"/>
      </w:tabs>
      <w:suppressAutoHyphens w:val="false"/>
      <w:bidi w:val="0"/>
      <w:spacing w:lineRule="auto" w:line="300" w:before="0" w:after="0"/>
      <w:ind w:left="0" w:right="0" w:hanging="0"/>
      <w:jc w:val="left"/>
    </w:pPr>
    <w:rPr>
      <w:rFonts w:ascii="Cambria" w:hAnsi="Cambria" w:eastAsia="Cambria" w:cs="Cambria"/>
      <w:b w:val="false"/>
      <w:bCs w:val="false"/>
      <w:i w:val="false"/>
      <w:iCs w:val="false"/>
      <w:caps w:val="false"/>
      <w:smallCaps w:val="false"/>
      <w:strike w:val="false"/>
      <w:dstrike w:val="false"/>
      <w:outline w:val="false"/>
      <w:emboss w:val="false"/>
      <w:imprint w:val="false"/>
      <w:vanish w:val="false"/>
      <w:color w:val="00000A"/>
      <w:spacing w:val="0"/>
      <w:w w:val="100"/>
      <w:kern w:val="0"/>
      <w:position w:val="0"/>
      <w:sz w:val="17"/>
      <w:sz w:val="17"/>
      <w:szCs w:val="17"/>
      <w:u w:val="none" w:color="00000A"/>
      <w:vertAlign w:val="baseline"/>
      <w:lang w:val="nl-NL" w:eastAsia="zh-CN" w:bidi="hi-IN"/>
    </w:rPr>
  </w:style>
  <w:style w:type="paragraph" w:styleId="InfoLabel">
    <w:name w:val="Info Label"/>
    <w:qFormat/>
    <w:pPr>
      <w:keepNext w:val="false"/>
      <w:keepLines w:val="false"/>
      <w:pageBreakBefore w:val="false"/>
      <w:widowControl/>
      <w:shd w:val="clear" w:color="auto" w:fill="auto"/>
      <w:tabs>
        <w:tab w:val="left" w:pos="397" w:leader="none"/>
        <w:tab w:val="left" w:pos="794" w:leader="none"/>
      </w:tabs>
      <w:suppressAutoHyphens w:val="false"/>
      <w:bidi w:val="0"/>
      <w:spacing w:lineRule="auto" w:line="300" w:before="0" w:after="40"/>
      <w:ind w:left="0" w:right="0" w:hanging="0"/>
      <w:jc w:val="right"/>
    </w:pPr>
    <w:rPr>
      <w:rFonts w:ascii="Cambria" w:hAnsi="Cambria" w:eastAsia="Cambria" w:cs="Cambria"/>
      <w:b w:val="false"/>
      <w:bCs w:val="false"/>
      <w:i w:val="false"/>
      <w:iCs w:val="false"/>
      <w:caps w:val="false"/>
      <w:smallCaps w:val="false"/>
      <w:strike w:val="false"/>
      <w:dstrike w:val="false"/>
      <w:outline w:val="false"/>
      <w:emboss w:val="false"/>
      <w:imprint w:val="false"/>
      <w:vanish w:val="false"/>
      <w:color w:val="00000A"/>
      <w:spacing w:val="0"/>
      <w:w w:val="100"/>
      <w:kern w:val="0"/>
      <w:position w:val="0"/>
      <w:sz w:val="14"/>
      <w:sz w:val="14"/>
      <w:szCs w:val="14"/>
      <w:u w:val="none" w:color="00000A"/>
      <w:vertAlign w:val="baseline"/>
      <w:lang w:val="nl-NL" w:eastAsia="zh-CN" w:bidi="hi-IN"/>
    </w:rPr>
  </w:style>
  <w:style w:type="paragraph" w:styleId="Default">
    <w:name w:val="Default"/>
    <w:qFormat/>
    <w:pPr>
      <w:keepNext w:val="false"/>
      <w:keepLines w:val="false"/>
      <w:pageBreakBefore w:val="false"/>
      <w:widowControl/>
      <w:shd w:val="clear" w:color="auto" w:fill="auto"/>
      <w:suppressAutoHyphens w:val="false"/>
      <w:bidi w:val="0"/>
      <w:spacing w:lineRule="auto" w:line="240" w:before="0" w:after="0"/>
      <w:ind w:left="0" w:right="0" w:hanging="0"/>
      <w:jc w:val="left"/>
    </w:pPr>
    <w:rPr>
      <w:rFonts w:ascii="Helvetica Neue" w:hAnsi="Helvetica Neue" w:eastAsia="Helvetica Neue" w:cs="Helvetica Neue"/>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2"/>
      <w:sz w:val="22"/>
      <w:szCs w:val="22"/>
      <w:u w:val="none" w:color="00000A"/>
      <w:vertAlign w:val="baseline"/>
      <w:lang w:val="nl-NL" w:eastAsia="zh-CN" w:bidi="hi-IN"/>
    </w:rPr>
  </w:style>
  <w:style w:type="paragraph" w:styleId="ListParagraph">
    <w:name w:val="List Paragraph"/>
    <w:qFormat/>
    <w:pPr>
      <w:keepNext w:val="false"/>
      <w:keepLines w:val="false"/>
      <w:pageBreakBefore w:val="false"/>
      <w:widowControl/>
      <w:shd w:val="clear" w:color="auto" w:fill="auto"/>
      <w:suppressAutoHyphens w:val="false"/>
      <w:bidi w:val="0"/>
      <w:spacing w:lineRule="auto" w:line="300" w:before="0" w:after="180"/>
      <w:ind w:left="0" w:right="0" w:hanging="0"/>
      <w:jc w:val="left"/>
    </w:pPr>
    <w:rPr>
      <w:rFonts w:ascii="Cambria" w:hAnsi="Cambria" w:eastAsia="Cambria" w:cs="Cambria"/>
      <w:b w:val="false"/>
      <w:bCs w:val="false"/>
      <w:i w:val="false"/>
      <w:iCs w:val="false"/>
      <w:caps w:val="false"/>
      <w:smallCaps w:val="false"/>
      <w:strike w:val="false"/>
      <w:dstrike w:val="false"/>
      <w:outline w:val="false"/>
      <w:emboss w:val="false"/>
      <w:imprint w:val="false"/>
      <w:vanish w:val="false"/>
      <w:color w:val="00000A"/>
      <w:spacing w:val="0"/>
      <w:w w:val="100"/>
      <w:kern w:val="0"/>
      <w:position w:val="0"/>
      <w:sz w:val="19"/>
      <w:sz w:val="19"/>
      <w:szCs w:val="19"/>
      <w:u w:val="none" w:color="00000A"/>
      <w:vertAlign w:val="baseline"/>
      <w:lang w:val="en-US" w:eastAsia="zh-CN" w:bidi="hi-IN"/>
    </w:rPr>
  </w:style>
  <w:style w:type="numbering" w:styleId="NoList" w:default="1">
    <w:name w:val="No List"/>
    <w:qFormat/>
  </w:style>
  <w:style w:type="numbering" w:styleId="ImportedStyle2">
    <w:name w:val="Imported Style 2"/>
    <w:qFormat/>
  </w:style>
  <w:style w:type="table" w:default="1" w:styleId="Table Normal">
    <w:name w:val="Table Normal"/>
    <w:tblPr>
      <w:tblInd w:w="0" w:type="dxa"/>
    </w:tblPr>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
</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Template/>
  <TotalTime>7</TotalTime>
  <Application>LibreOffice/5.4.3.2$MacOSX_X86_64 LibreOffice_project/92a7159f7e4af62137622921e809f8546db437e5</Application>
  <Pages>5</Pages>
  <Words>1913</Words>
  <Characters>9757</Characters>
  <CharactersWithSpaces>11649</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nl-NL</dc:language>
  <cp:lastModifiedBy/>
  <dcterms:modified xsi:type="dcterms:W3CDTF">2018-05-25T16:48:29Z</dcterms:modified>
  <cp:revision>3</cp:revision>
  <dc:subject/>
  <dc:title/>
</cp:coreProperties>
</file>